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A5537A" w:rsidRDefault="000B1D19" w:rsidP="00D14885">
      <w:pPr>
        <w:jc w:val="center"/>
        <w:rPr>
          <w:lang w:val="en-GB"/>
        </w:rPr>
      </w:pPr>
      <w:r>
        <w:rPr>
          <w:noProof/>
        </w:rPr>
        <w:drawing>
          <wp:inline distT="0" distB="0" distL="0" distR="0">
            <wp:extent cx="578167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781675" cy="1657350"/>
                    </a:xfrm>
                    <a:prstGeom prst="rect">
                      <a:avLst/>
                    </a:prstGeom>
                    <a:noFill/>
                    <a:ln w="9525">
                      <a:noFill/>
                      <a:miter lim="800000"/>
                      <a:headEnd/>
                      <a:tailEnd/>
                    </a:ln>
                  </pic:spPr>
                </pic:pic>
              </a:graphicData>
            </a:graphic>
          </wp:inline>
        </w:drawing>
      </w:r>
    </w:p>
    <w:p w:rsidR="0079687A" w:rsidRDefault="0079687A" w:rsidP="00C91DB9">
      <w:pPr>
        <w:autoSpaceDE w:val="0"/>
        <w:ind w:firstLine="720"/>
        <w:jc w:val="center"/>
        <w:rPr>
          <w:b/>
          <w:bCs/>
          <w:lang w:val="en-GB"/>
        </w:rPr>
      </w:pPr>
    </w:p>
    <w:p w:rsidR="000F7E70" w:rsidRDefault="000F7E70" w:rsidP="00C91DB9">
      <w:pPr>
        <w:autoSpaceDE w:val="0"/>
        <w:ind w:firstLine="720"/>
        <w:jc w:val="center"/>
        <w:rPr>
          <w:b/>
          <w:bCs/>
          <w:lang w:val="en-GB"/>
        </w:rPr>
      </w:pPr>
      <w:r w:rsidRPr="00A5537A">
        <w:rPr>
          <w:b/>
          <w:bCs/>
          <w:lang w:val="en-GB"/>
        </w:rPr>
        <w:t>OPINION</w:t>
      </w:r>
    </w:p>
    <w:p w:rsidR="000F7E70" w:rsidRPr="00A5537A" w:rsidRDefault="000F7E70" w:rsidP="000F7E70">
      <w:pPr>
        <w:autoSpaceDE w:val="0"/>
        <w:ind w:left="720" w:firstLine="720"/>
        <w:jc w:val="both"/>
        <w:rPr>
          <w:b/>
          <w:bCs/>
          <w:lang w:val="en-GB"/>
        </w:rPr>
      </w:pPr>
    </w:p>
    <w:p w:rsidR="000F7E70" w:rsidRPr="00754DBD" w:rsidRDefault="000F7E70" w:rsidP="000F7E70">
      <w:pPr>
        <w:autoSpaceDE w:val="0"/>
        <w:jc w:val="both"/>
        <w:rPr>
          <w:b/>
          <w:bCs/>
          <w:lang w:val="en-GB"/>
        </w:rPr>
      </w:pPr>
      <w:r w:rsidRPr="00A5537A">
        <w:rPr>
          <w:b/>
          <w:bCs/>
          <w:lang w:val="en-GB"/>
        </w:rPr>
        <w:t xml:space="preserve">Date of adoption: </w:t>
      </w:r>
      <w:r w:rsidR="00754DBD" w:rsidRPr="00754DBD">
        <w:rPr>
          <w:b/>
          <w:bCs/>
          <w:lang w:val="en-GB"/>
        </w:rPr>
        <w:t>6</w:t>
      </w:r>
      <w:r w:rsidR="000B1D19" w:rsidRPr="00754DBD">
        <w:rPr>
          <w:b/>
          <w:bCs/>
          <w:lang w:val="en-GB"/>
        </w:rPr>
        <w:t xml:space="preserve"> June</w:t>
      </w:r>
      <w:r w:rsidRPr="00754DBD">
        <w:rPr>
          <w:b/>
          <w:bCs/>
          <w:lang w:val="en-GB"/>
        </w:rPr>
        <w:t xml:space="preserve"> 20</w:t>
      </w:r>
      <w:r w:rsidR="00C905F1" w:rsidRPr="00754DBD">
        <w:rPr>
          <w:b/>
          <w:bCs/>
          <w:lang w:val="en-GB"/>
        </w:rPr>
        <w:t>1</w:t>
      </w:r>
      <w:r w:rsidR="00A76DB6" w:rsidRPr="00754DBD">
        <w:rPr>
          <w:b/>
          <w:bCs/>
          <w:lang w:val="en-GB"/>
        </w:rPr>
        <w:t>3</w:t>
      </w:r>
    </w:p>
    <w:p w:rsidR="000F7E70" w:rsidRPr="00A5537A" w:rsidRDefault="000F7E70" w:rsidP="000F7E70">
      <w:pPr>
        <w:autoSpaceDE w:val="0"/>
        <w:jc w:val="both"/>
        <w:rPr>
          <w:b/>
          <w:bCs/>
          <w:lang w:val="en-GB"/>
        </w:rPr>
      </w:pPr>
    </w:p>
    <w:p w:rsidR="000F7E70" w:rsidRPr="00A5537A" w:rsidRDefault="000F7E70" w:rsidP="000F7E70">
      <w:pPr>
        <w:autoSpaceDE w:val="0"/>
        <w:jc w:val="both"/>
        <w:rPr>
          <w:b/>
          <w:bCs/>
          <w:lang w:val="en-GB"/>
        </w:rPr>
      </w:pPr>
    </w:p>
    <w:p w:rsidR="000F7E70" w:rsidRPr="00A5537A" w:rsidRDefault="000F7E70" w:rsidP="000F7E70">
      <w:pPr>
        <w:autoSpaceDE w:val="0"/>
        <w:jc w:val="both"/>
        <w:rPr>
          <w:b/>
          <w:bCs/>
          <w:lang w:val="en-GB"/>
        </w:rPr>
      </w:pPr>
      <w:r w:rsidRPr="00A5537A">
        <w:rPr>
          <w:b/>
          <w:bCs/>
          <w:lang w:val="en-GB"/>
        </w:rPr>
        <w:t>Case No</w:t>
      </w:r>
      <w:r w:rsidR="000B1D19">
        <w:rPr>
          <w:b/>
          <w:bCs/>
          <w:lang w:val="en-GB"/>
        </w:rPr>
        <w:t>s</w:t>
      </w:r>
      <w:r w:rsidRPr="00A5537A">
        <w:rPr>
          <w:b/>
          <w:bCs/>
          <w:lang w:val="en-GB"/>
        </w:rPr>
        <w:t xml:space="preserve">. </w:t>
      </w:r>
      <w:r w:rsidR="000B1D19">
        <w:rPr>
          <w:b/>
          <w:bCs/>
          <w:lang w:val="en-GB"/>
        </w:rPr>
        <w:t>168/09</w:t>
      </w:r>
      <w:r w:rsidR="00915A75">
        <w:rPr>
          <w:b/>
          <w:bCs/>
          <w:lang w:val="en-GB"/>
        </w:rPr>
        <w:t>,</w:t>
      </w:r>
      <w:r w:rsidR="000B1D19">
        <w:rPr>
          <w:b/>
          <w:bCs/>
          <w:lang w:val="en-GB"/>
        </w:rPr>
        <w:t xml:space="preserve"> 169/09</w:t>
      </w:r>
      <w:r w:rsidR="00915A75">
        <w:rPr>
          <w:b/>
          <w:bCs/>
          <w:lang w:val="en-GB"/>
        </w:rPr>
        <w:t xml:space="preserve"> and 312/09</w:t>
      </w:r>
    </w:p>
    <w:p w:rsidR="000F7E70" w:rsidRPr="00A5537A" w:rsidRDefault="000F7E70" w:rsidP="000F7E70">
      <w:pPr>
        <w:autoSpaceDE w:val="0"/>
        <w:jc w:val="both"/>
        <w:rPr>
          <w:b/>
          <w:bCs/>
          <w:lang w:val="en-GB"/>
        </w:rPr>
      </w:pPr>
    </w:p>
    <w:p w:rsidR="00F85AF1" w:rsidRDefault="00F85AF1" w:rsidP="00F85AF1">
      <w:pPr>
        <w:autoSpaceDE w:val="0"/>
        <w:autoSpaceDN w:val="0"/>
        <w:adjustRightInd w:val="0"/>
        <w:jc w:val="both"/>
        <w:rPr>
          <w:b/>
          <w:bCs/>
          <w:lang w:val="en-GB"/>
        </w:rPr>
      </w:pPr>
      <w:bookmarkStart w:id="0" w:name="_GoBack"/>
      <w:proofErr w:type="spellStart"/>
      <w:r>
        <w:rPr>
          <w:b/>
          <w:bCs/>
          <w:lang w:val="en-GB"/>
        </w:rPr>
        <w:t>Snežana</w:t>
      </w:r>
      <w:bookmarkEnd w:id="0"/>
      <w:proofErr w:type="spellEnd"/>
      <w:r>
        <w:rPr>
          <w:b/>
          <w:bCs/>
          <w:lang w:val="en-GB"/>
        </w:rPr>
        <w:t xml:space="preserve"> MILENKOVIĆ and </w:t>
      </w:r>
      <w:proofErr w:type="spellStart"/>
      <w:r>
        <w:rPr>
          <w:b/>
          <w:bCs/>
          <w:lang w:val="en-GB"/>
        </w:rPr>
        <w:t>Momčilo</w:t>
      </w:r>
      <w:proofErr w:type="spellEnd"/>
      <w:r>
        <w:rPr>
          <w:b/>
          <w:bCs/>
          <w:lang w:val="en-GB"/>
        </w:rPr>
        <w:t xml:space="preserve"> MILENKOVIĆ</w:t>
      </w:r>
    </w:p>
    <w:p w:rsidR="00A40F98" w:rsidRPr="00A5537A" w:rsidRDefault="00A40F98" w:rsidP="000F7E70">
      <w:pPr>
        <w:autoSpaceDE w:val="0"/>
        <w:jc w:val="both"/>
        <w:rPr>
          <w:b/>
          <w:bCs/>
          <w:lang w:val="en-GB"/>
        </w:rPr>
      </w:pPr>
    </w:p>
    <w:p w:rsidR="000F7E70" w:rsidRPr="00A5537A" w:rsidRDefault="000F7E70" w:rsidP="000F7E70">
      <w:pPr>
        <w:autoSpaceDE w:val="0"/>
        <w:jc w:val="both"/>
        <w:rPr>
          <w:b/>
          <w:bCs/>
          <w:lang w:val="en-GB"/>
        </w:rPr>
      </w:pPr>
      <w:proofErr w:type="gramStart"/>
      <w:r w:rsidRPr="00A5537A">
        <w:rPr>
          <w:b/>
          <w:bCs/>
          <w:lang w:val="en-GB"/>
        </w:rPr>
        <w:t>against</w:t>
      </w:r>
      <w:proofErr w:type="gramEnd"/>
    </w:p>
    <w:p w:rsidR="000F7E70" w:rsidRPr="00A5537A" w:rsidRDefault="000F7E70" w:rsidP="000F7E70">
      <w:pPr>
        <w:autoSpaceDE w:val="0"/>
        <w:jc w:val="both"/>
        <w:rPr>
          <w:b/>
          <w:bCs/>
          <w:lang w:val="en-GB"/>
        </w:rPr>
      </w:pPr>
    </w:p>
    <w:p w:rsidR="000F7E70" w:rsidRPr="00A5537A" w:rsidRDefault="000F7E70" w:rsidP="000F7E70">
      <w:pPr>
        <w:autoSpaceDE w:val="0"/>
        <w:jc w:val="both"/>
        <w:rPr>
          <w:b/>
          <w:bCs/>
          <w:lang w:val="en-GB"/>
        </w:rPr>
      </w:pPr>
      <w:r w:rsidRPr="00A5537A">
        <w:rPr>
          <w:b/>
          <w:bCs/>
          <w:lang w:val="en-GB"/>
        </w:rPr>
        <w:t xml:space="preserve">UNMIK </w:t>
      </w:r>
    </w:p>
    <w:p w:rsidR="00E07C8C" w:rsidRPr="00A5537A" w:rsidRDefault="00E07C8C" w:rsidP="000F7E70">
      <w:pPr>
        <w:autoSpaceDE w:val="0"/>
        <w:jc w:val="both"/>
        <w:rPr>
          <w:b/>
          <w:bCs/>
          <w:lang w:val="en-GB"/>
        </w:rPr>
      </w:pPr>
    </w:p>
    <w:p w:rsidR="000F7E70" w:rsidRPr="00A5537A" w:rsidRDefault="000F7E70" w:rsidP="000F7E70">
      <w:pPr>
        <w:autoSpaceDE w:val="0"/>
        <w:jc w:val="both"/>
        <w:rPr>
          <w:b/>
          <w:bCs/>
          <w:lang w:val="en-GB"/>
        </w:rPr>
      </w:pPr>
    </w:p>
    <w:p w:rsidR="000F7E70" w:rsidRPr="00A5537A" w:rsidRDefault="000F7E70" w:rsidP="000F7E70">
      <w:pPr>
        <w:autoSpaceDE w:val="0"/>
        <w:jc w:val="both"/>
        <w:rPr>
          <w:lang w:val="en-GB"/>
        </w:rPr>
      </w:pPr>
      <w:r w:rsidRPr="00A5537A">
        <w:rPr>
          <w:lang w:val="en-GB"/>
        </w:rPr>
        <w:t>The Human Rights Advisory Panel</w:t>
      </w:r>
      <w:r w:rsidR="00F379DF" w:rsidRPr="00A5537A">
        <w:rPr>
          <w:lang w:val="en-GB"/>
        </w:rPr>
        <w:t>,</w:t>
      </w:r>
      <w:r w:rsidR="00BD6F0B" w:rsidRPr="00A5537A">
        <w:rPr>
          <w:lang w:val="en-GB"/>
        </w:rPr>
        <w:t xml:space="preserve"> sitting</w:t>
      </w:r>
      <w:r w:rsidR="003A3E9C">
        <w:rPr>
          <w:lang w:val="en-GB"/>
        </w:rPr>
        <w:t xml:space="preserve"> </w:t>
      </w:r>
      <w:r w:rsidRPr="00A5537A">
        <w:rPr>
          <w:lang w:val="en-GB"/>
        </w:rPr>
        <w:t>on</w:t>
      </w:r>
      <w:r w:rsidR="001A08B0" w:rsidRPr="00A5537A">
        <w:rPr>
          <w:lang w:val="en-GB"/>
        </w:rPr>
        <w:t xml:space="preserve"> </w:t>
      </w:r>
      <w:r w:rsidR="00754DBD">
        <w:rPr>
          <w:lang w:val="en-GB"/>
        </w:rPr>
        <w:t>6</w:t>
      </w:r>
      <w:r w:rsidR="001A08B0" w:rsidRPr="00A5537A">
        <w:rPr>
          <w:lang w:val="en-GB"/>
        </w:rPr>
        <w:t xml:space="preserve"> </w:t>
      </w:r>
      <w:r w:rsidR="00F85AF1">
        <w:rPr>
          <w:lang w:val="en-GB"/>
        </w:rPr>
        <w:t>June</w:t>
      </w:r>
      <w:r w:rsidR="002B3D61" w:rsidRPr="00A5537A">
        <w:rPr>
          <w:lang w:val="en-GB"/>
        </w:rPr>
        <w:t xml:space="preserve"> </w:t>
      </w:r>
      <w:r w:rsidR="00173F75" w:rsidRPr="00A5537A">
        <w:rPr>
          <w:lang w:val="en-GB"/>
        </w:rPr>
        <w:t>20</w:t>
      </w:r>
      <w:r w:rsidR="005917EC" w:rsidRPr="00A5537A">
        <w:rPr>
          <w:lang w:val="en-GB"/>
        </w:rPr>
        <w:t>1</w:t>
      </w:r>
      <w:r w:rsidR="00A76DB6" w:rsidRPr="00A5537A">
        <w:rPr>
          <w:lang w:val="en-GB"/>
        </w:rPr>
        <w:t>3</w:t>
      </w:r>
      <w:r w:rsidR="004234FA" w:rsidRPr="00A5537A">
        <w:rPr>
          <w:lang w:val="en-GB"/>
        </w:rPr>
        <w:t>,</w:t>
      </w:r>
    </w:p>
    <w:p w:rsidR="000F7E70" w:rsidRPr="00A5537A" w:rsidRDefault="000F7E70" w:rsidP="000F7E70">
      <w:pPr>
        <w:autoSpaceDE w:val="0"/>
        <w:jc w:val="both"/>
        <w:rPr>
          <w:lang w:val="en-GB"/>
        </w:rPr>
      </w:pPr>
      <w:proofErr w:type="gramStart"/>
      <w:r w:rsidRPr="00A5537A">
        <w:rPr>
          <w:lang w:val="en-GB"/>
        </w:rPr>
        <w:t>with</w:t>
      </w:r>
      <w:proofErr w:type="gramEnd"/>
      <w:r w:rsidRPr="00A5537A">
        <w:rPr>
          <w:lang w:val="en-GB"/>
        </w:rPr>
        <w:t xml:space="preserve"> the following members </w:t>
      </w:r>
      <w:r w:rsidR="003C6DFA" w:rsidRPr="00A5537A">
        <w:rPr>
          <w:lang w:val="en-GB"/>
        </w:rPr>
        <w:t>present</w:t>
      </w:r>
      <w:r w:rsidR="00F85AF1">
        <w:rPr>
          <w:lang w:val="en-GB"/>
        </w:rPr>
        <w:t>:</w:t>
      </w:r>
    </w:p>
    <w:p w:rsidR="000F7E70" w:rsidRPr="00A5537A" w:rsidRDefault="000F7E70" w:rsidP="000F7E70">
      <w:pPr>
        <w:autoSpaceDE w:val="0"/>
        <w:jc w:val="both"/>
        <w:rPr>
          <w:lang w:val="en-GB"/>
        </w:rPr>
      </w:pPr>
    </w:p>
    <w:p w:rsidR="00E07C8C" w:rsidRPr="00A5537A" w:rsidRDefault="00E07C8C" w:rsidP="000F7E70">
      <w:pPr>
        <w:autoSpaceDE w:val="0"/>
        <w:jc w:val="both"/>
        <w:rPr>
          <w:lang w:val="en-GB"/>
        </w:rPr>
      </w:pPr>
      <w:r w:rsidRPr="00A5537A">
        <w:rPr>
          <w:lang w:val="en-GB"/>
        </w:rPr>
        <w:t>Mr Marek NOWICKI, Presiding Membe</w:t>
      </w:r>
      <w:r w:rsidR="000D5BCF" w:rsidRPr="00A5537A">
        <w:rPr>
          <w:lang w:val="en-GB"/>
        </w:rPr>
        <w:t>r</w:t>
      </w:r>
    </w:p>
    <w:p w:rsidR="000F7E70" w:rsidRPr="00A5537A" w:rsidRDefault="000F7E70" w:rsidP="000F7E70">
      <w:pPr>
        <w:autoSpaceDE w:val="0"/>
        <w:jc w:val="both"/>
        <w:rPr>
          <w:lang w:val="en-GB"/>
        </w:rPr>
      </w:pPr>
      <w:r w:rsidRPr="00A5537A">
        <w:rPr>
          <w:lang w:val="en-GB"/>
        </w:rPr>
        <w:t xml:space="preserve">Ms </w:t>
      </w:r>
      <w:r w:rsidR="00E07C8C" w:rsidRPr="00A5537A">
        <w:rPr>
          <w:lang w:val="en-GB"/>
        </w:rPr>
        <w:t>Christine CHINKIN</w:t>
      </w:r>
    </w:p>
    <w:p w:rsidR="000F7E70" w:rsidRPr="00A5537A" w:rsidRDefault="00A40F98" w:rsidP="000F7E70">
      <w:pPr>
        <w:autoSpaceDE w:val="0"/>
        <w:jc w:val="both"/>
        <w:rPr>
          <w:lang w:val="en-GB"/>
        </w:rPr>
      </w:pPr>
      <w:r w:rsidRPr="00A5537A">
        <w:rPr>
          <w:lang w:val="en-GB"/>
        </w:rPr>
        <w:t xml:space="preserve">Ms Françoise </w:t>
      </w:r>
      <w:r w:rsidR="00F04F5B" w:rsidRPr="00A5537A">
        <w:rPr>
          <w:lang w:val="en-GB"/>
        </w:rPr>
        <w:t>TULKENS</w:t>
      </w:r>
    </w:p>
    <w:p w:rsidR="00A76DB6" w:rsidRPr="00A5537A" w:rsidRDefault="00A76DB6" w:rsidP="000F7E70">
      <w:pPr>
        <w:autoSpaceDE w:val="0"/>
        <w:jc w:val="both"/>
        <w:rPr>
          <w:lang w:val="en-GB"/>
        </w:rPr>
      </w:pPr>
    </w:p>
    <w:p w:rsidR="000F7E70" w:rsidRPr="00A5537A" w:rsidRDefault="00E07C8C" w:rsidP="000F7E70">
      <w:pPr>
        <w:autoSpaceDE w:val="0"/>
        <w:jc w:val="both"/>
        <w:rPr>
          <w:lang w:val="en-GB"/>
        </w:rPr>
      </w:pPr>
      <w:r w:rsidRPr="00A5537A">
        <w:rPr>
          <w:lang w:val="en-GB"/>
        </w:rPr>
        <w:t>Assisted by</w:t>
      </w:r>
    </w:p>
    <w:p w:rsidR="00E07C8C" w:rsidRPr="00A5537A" w:rsidRDefault="00E07C8C" w:rsidP="000F7E70">
      <w:pPr>
        <w:autoSpaceDE w:val="0"/>
        <w:jc w:val="both"/>
        <w:rPr>
          <w:lang w:val="en-GB"/>
        </w:rPr>
      </w:pPr>
    </w:p>
    <w:p w:rsidR="000F7E70" w:rsidRPr="00A5537A" w:rsidRDefault="00A16C77" w:rsidP="000F7E70">
      <w:pPr>
        <w:autoSpaceDE w:val="0"/>
        <w:jc w:val="both"/>
        <w:rPr>
          <w:lang w:val="en-GB"/>
        </w:rPr>
      </w:pPr>
      <w:r w:rsidRPr="00A5537A">
        <w:rPr>
          <w:lang w:val="en-GB"/>
        </w:rPr>
        <w:t>Mr</w:t>
      </w:r>
      <w:r w:rsidR="000F7E70" w:rsidRPr="00A5537A">
        <w:rPr>
          <w:lang w:val="en-GB"/>
        </w:rPr>
        <w:t xml:space="preserve"> </w:t>
      </w:r>
      <w:r w:rsidR="00E07C8C" w:rsidRPr="00A5537A">
        <w:rPr>
          <w:lang w:val="en-GB"/>
        </w:rPr>
        <w:t>Andrey ANTONOV</w:t>
      </w:r>
      <w:r w:rsidR="000F7E70" w:rsidRPr="00A5537A">
        <w:rPr>
          <w:lang w:val="en-GB"/>
        </w:rPr>
        <w:t>, Executive Officer</w:t>
      </w:r>
    </w:p>
    <w:p w:rsidR="000F7E70" w:rsidRPr="00A5537A" w:rsidRDefault="000F7E70" w:rsidP="000F7E70">
      <w:pPr>
        <w:autoSpaceDE w:val="0"/>
        <w:jc w:val="both"/>
        <w:rPr>
          <w:lang w:val="en-GB"/>
        </w:rPr>
      </w:pPr>
    </w:p>
    <w:p w:rsidR="00E07C8C" w:rsidRPr="00A5537A" w:rsidRDefault="00E07C8C" w:rsidP="000F7E70">
      <w:pPr>
        <w:autoSpaceDE w:val="0"/>
        <w:jc w:val="both"/>
        <w:rPr>
          <w:lang w:val="en-GB"/>
        </w:rPr>
      </w:pPr>
    </w:p>
    <w:p w:rsidR="000F7E70" w:rsidRPr="00A5537A" w:rsidRDefault="000F7E70" w:rsidP="000F7E70">
      <w:pPr>
        <w:autoSpaceDE w:val="0"/>
        <w:jc w:val="both"/>
        <w:rPr>
          <w:lang w:val="en-GB"/>
        </w:rPr>
      </w:pPr>
      <w:r w:rsidRPr="00A5537A">
        <w:rPr>
          <w:lang w:val="en-GB"/>
        </w:rPr>
        <w:t>Having considered the aforementioned complaint, introduced pursuant to Section 1.2 of UNMIK Regulation No. 2006/12 of 23 March 2006 on the establishment of the Human Rights Advisory Panel,</w:t>
      </w:r>
    </w:p>
    <w:p w:rsidR="000F7E70" w:rsidRPr="00A5537A" w:rsidRDefault="000F7E70" w:rsidP="000F7E70">
      <w:pPr>
        <w:autoSpaceDE w:val="0"/>
        <w:jc w:val="both"/>
        <w:rPr>
          <w:lang w:val="en-GB"/>
        </w:rPr>
      </w:pPr>
    </w:p>
    <w:p w:rsidR="00F379DF" w:rsidRPr="00A5537A" w:rsidRDefault="00F379DF" w:rsidP="000F7E70">
      <w:pPr>
        <w:autoSpaceDE w:val="0"/>
        <w:jc w:val="both"/>
        <w:rPr>
          <w:lang w:val="en-GB"/>
        </w:rPr>
      </w:pPr>
      <w:r w:rsidRPr="00A5537A">
        <w:rPr>
          <w:lang w:val="en-GB"/>
        </w:rPr>
        <w:t xml:space="preserve">Having </w:t>
      </w:r>
      <w:proofErr w:type="gramStart"/>
      <w:r w:rsidRPr="00A5537A">
        <w:rPr>
          <w:lang w:val="en-GB"/>
        </w:rPr>
        <w:t>deliberated</w:t>
      </w:r>
      <w:r w:rsidR="002201E7" w:rsidRPr="00A5537A">
        <w:rPr>
          <w:lang w:val="en-GB"/>
        </w:rPr>
        <w:t>,</w:t>
      </w:r>
      <w:proofErr w:type="gramEnd"/>
      <w:r w:rsidRPr="00A5537A">
        <w:t xml:space="preserve"> makes the following </w:t>
      </w:r>
      <w:r w:rsidR="002201E7" w:rsidRPr="00A5537A">
        <w:t>findings and recommendations</w:t>
      </w:r>
      <w:r w:rsidRPr="00A5537A">
        <w:rPr>
          <w:lang w:val="en-GB"/>
        </w:rPr>
        <w:t>:</w:t>
      </w:r>
    </w:p>
    <w:p w:rsidR="000F7E70" w:rsidRPr="00A5537A" w:rsidRDefault="000F7E70" w:rsidP="000F7E70">
      <w:pPr>
        <w:autoSpaceDE w:val="0"/>
        <w:jc w:val="both"/>
        <w:rPr>
          <w:lang w:val="en-GB"/>
        </w:rPr>
      </w:pPr>
    </w:p>
    <w:p w:rsidR="0016154E" w:rsidRPr="00A5537A" w:rsidRDefault="0016154E" w:rsidP="00EC64DD">
      <w:pPr>
        <w:tabs>
          <w:tab w:val="left" w:pos="360"/>
        </w:tabs>
        <w:autoSpaceDE w:val="0"/>
        <w:ind w:left="360" w:hanging="360"/>
        <w:jc w:val="both"/>
        <w:rPr>
          <w:lang w:val="en-GB"/>
        </w:rPr>
      </w:pPr>
    </w:p>
    <w:p w:rsidR="0016154E" w:rsidRPr="00A5537A" w:rsidRDefault="0016154E" w:rsidP="00EC64DD">
      <w:pPr>
        <w:numPr>
          <w:ilvl w:val="0"/>
          <w:numId w:val="2"/>
        </w:numPr>
        <w:tabs>
          <w:tab w:val="left" w:pos="360"/>
        </w:tabs>
        <w:suppressAutoHyphens/>
        <w:autoSpaceDE w:val="0"/>
        <w:ind w:left="360" w:hanging="360"/>
        <w:jc w:val="both"/>
        <w:rPr>
          <w:b/>
          <w:bCs/>
          <w:lang w:val="en-GB"/>
        </w:rPr>
      </w:pPr>
      <w:r w:rsidRPr="00A5537A">
        <w:rPr>
          <w:b/>
          <w:bCs/>
          <w:lang w:val="en-GB"/>
        </w:rPr>
        <w:t>PROCEEDINGS BEFORE THE PANEL</w:t>
      </w:r>
    </w:p>
    <w:p w:rsidR="00F85AF1" w:rsidRDefault="00F85AF1" w:rsidP="00F85AF1">
      <w:pPr>
        <w:pStyle w:val="Default"/>
        <w:ind w:left="360"/>
        <w:jc w:val="both"/>
        <w:rPr>
          <w:lang w:val="en-GB"/>
        </w:rPr>
      </w:pPr>
    </w:p>
    <w:p w:rsidR="00F85AF1" w:rsidRDefault="005F686D" w:rsidP="00F85AF1">
      <w:pPr>
        <w:pStyle w:val="Default"/>
        <w:numPr>
          <w:ilvl w:val="0"/>
          <w:numId w:val="5"/>
        </w:numPr>
        <w:tabs>
          <w:tab w:val="left" w:pos="360"/>
        </w:tabs>
        <w:jc w:val="both"/>
        <w:rPr>
          <w:lang w:val="en-GB"/>
        </w:rPr>
      </w:pPr>
      <w:r w:rsidRPr="00A5537A">
        <w:rPr>
          <w:lang w:val="en-GB"/>
        </w:rPr>
        <w:t>The</w:t>
      </w:r>
      <w:r w:rsidR="00F85AF1">
        <w:rPr>
          <w:lang w:val="en-GB"/>
        </w:rPr>
        <w:t xml:space="preserve"> </w:t>
      </w:r>
      <w:r w:rsidR="00F85AF1" w:rsidRPr="00F85AF1">
        <w:rPr>
          <w:lang w:val="en-GB"/>
        </w:rPr>
        <w:t xml:space="preserve">complaints of Mrs </w:t>
      </w:r>
      <w:proofErr w:type="spellStart"/>
      <w:r w:rsidR="00F85AF1" w:rsidRPr="00F85AF1">
        <w:rPr>
          <w:lang w:val="en-GB"/>
        </w:rPr>
        <w:t>Milenković</w:t>
      </w:r>
      <w:proofErr w:type="spellEnd"/>
      <w:r w:rsidR="00754DBD">
        <w:rPr>
          <w:lang w:val="en-GB"/>
        </w:rPr>
        <w:t xml:space="preserve"> (</w:t>
      </w:r>
      <w:r w:rsidR="00593D1C">
        <w:rPr>
          <w:lang w:val="en-GB"/>
        </w:rPr>
        <w:t xml:space="preserve">case </w:t>
      </w:r>
      <w:proofErr w:type="spellStart"/>
      <w:r w:rsidR="00593D1C">
        <w:rPr>
          <w:lang w:val="en-GB"/>
        </w:rPr>
        <w:t>no</w:t>
      </w:r>
      <w:r w:rsidR="00754DBD">
        <w:rPr>
          <w:lang w:val="en-GB"/>
        </w:rPr>
        <w:t>s</w:t>
      </w:r>
      <w:proofErr w:type="spellEnd"/>
      <w:r w:rsidR="00754DBD">
        <w:rPr>
          <w:lang w:val="en-GB"/>
        </w:rPr>
        <w:t xml:space="preserve"> 168/09 and 169/09</w:t>
      </w:r>
      <w:r w:rsidR="00593D1C">
        <w:rPr>
          <w:lang w:val="en-GB"/>
        </w:rPr>
        <w:t>)</w:t>
      </w:r>
      <w:r w:rsidR="00F85AF1" w:rsidRPr="00F85AF1">
        <w:rPr>
          <w:lang w:val="en-GB"/>
        </w:rPr>
        <w:t xml:space="preserve"> were introduced on 9 April 2009 and 30 April 2009, respectively, and registered on 30 April 2009. The complaint of Mr </w:t>
      </w:r>
      <w:proofErr w:type="spellStart"/>
      <w:r w:rsidR="00F85AF1" w:rsidRPr="00F85AF1">
        <w:rPr>
          <w:lang w:val="en-GB"/>
        </w:rPr>
        <w:t>Milenković</w:t>
      </w:r>
      <w:proofErr w:type="spellEnd"/>
      <w:r w:rsidR="00754DBD">
        <w:rPr>
          <w:lang w:val="en-GB"/>
        </w:rPr>
        <w:t xml:space="preserve"> (case no. 312/09)</w:t>
      </w:r>
      <w:r w:rsidR="00F85AF1" w:rsidRPr="00F85AF1">
        <w:rPr>
          <w:lang w:val="en-GB"/>
        </w:rPr>
        <w:t xml:space="preserve"> was introduced on 21 September 2009 and registered on 23 September 2009.</w:t>
      </w:r>
    </w:p>
    <w:p w:rsidR="00F85AF1" w:rsidRDefault="00F85AF1" w:rsidP="00F85AF1">
      <w:pPr>
        <w:pStyle w:val="Default"/>
        <w:ind w:left="360"/>
        <w:jc w:val="both"/>
        <w:rPr>
          <w:lang w:val="en-GB"/>
        </w:rPr>
      </w:pPr>
    </w:p>
    <w:p w:rsidR="00F85AF1" w:rsidRPr="00F85AF1" w:rsidRDefault="00F85AF1" w:rsidP="00F85AF1">
      <w:pPr>
        <w:pStyle w:val="Default"/>
        <w:numPr>
          <w:ilvl w:val="0"/>
          <w:numId w:val="5"/>
        </w:numPr>
        <w:tabs>
          <w:tab w:val="left" w:pos="360"/>
        </w:tabs>
        <w:jc w:val="both"/>
      </w:pPr>
      <w:r>
        <w:rPr>
          <w:lang w:val="en-GB"/>
        </w:rPr>
        <w:t xml:space="preserve">On 10 December 2009, </w:t>
      </w:r>
      <w:r w:rsidRPr="00F85AF1">
        <w:rPr>
          <w:lang w:val="en-GB"/>
        </w:rPr>
        <w:t>23 December 2009 and 6 June 2011</w:t>
      </w:r>
      <w:r w:rsidR="00754DBD">
        <w:rPr>
          <w:lang w:val="en-GB"/>
        </w:rPr>
        <w:t>,</w:t>
      </w:r>
      <w:r w:rsidRPr="00F85AF1">
        <w:rPr>
          <w:lang w:val="en-GB"/>
        </w:rPr>
        <w:t xml:space="preserve"> the Panel requested further information from the complainants. No responses were received.</w:t>
      </w:r>
      <w:r>
        <w:rPr>
          <w:lang w:val="en-GB"/>
        </w:rPr>
        <w:t xml:space="preserve"> </w:t>
      </w:r>
    </w:p>
    <w:p w:rsidR="00F85AF1" w:rsidRPr="00F85AF1" w:rsidRDefault="00F85AF1" w:rsidP="00F85AF1">
      <w:pPr>
        <w:pStyle w:val="Default"/>
        <w:ind w:left="360"/>
        <w:jc w:val="both"/>
      </w:pPr>
    </w:p>
    <w:p w:rsidR="00F85AF1" w:rsidRPr="00F85AF1" w:rsidRDefault="00F85AF1" w:rsidP="00F85AF1">
      <w:pPr>
        <w:pStyle w:val="Default"/>
        <w:numPr>
          <w:ilvl w:val="0"/>
          <w:numId w:val="5"/>
        </w:numPr>
        <w:tabs>
          <w:tab w:val="left" w:pos="360"/>
        </w:tabs>
        <w:jc w:val="both"/>
      </w:pPr>
      <w:r w:rsidRPr="00F85AF1">
        <w:t>On 20 December 2009</w:t>
      </w:r>
      <w:r w:rsidR="00754DBD">
        <w:t>,</w:t>
      </w:r>
      <w:r w:rsidRPr="00F85AF1">
        <w:t xml:space="preserve"> the Panel decided to join the cases, pursuant to Rule 20 of the Panel’s Rules of Procedure.</w:t>
      </w:r>
    </w:p>
    <w:p w:rsidR="005F686D" w:rsidRPr="00F85AF1" w:rsidRDefault="005F686D" w:rsidP="00F85AF1">
      <w:pPr>
        <w:tabs>
          <w:tab w:val="left" w:pos="360"/>
        </w:tabs>
        <w:rPr>
          <w:lang w:val="en-GB"/>
        </w:rPr>
      </w:pPr>
    </w:p>
    <w:p w:rsidR="005F686D" w:rsidRPr="00A5537A" w:rsidRDefault="005F686D" w:rsidP="00EC64DD">
      <w:pPr>
        <w:pStyle w:val="Default"/>
        <w:numPr>
          <w:ilvl w:val="0"/>
          <w:numId w:val="5"/>
        </w:numPr>
        <w:tabs>
          <w:tab w:val="left" w:pos="360"/>
        </w:tabs>
        <w:jc w:val="both"/>
        <w:rPr>
          <w:lang w:val="en-GB"/>
        </w:rPr>
      </w:pPr>
      <w:r w:rsidRPr="00A5537A">
        <w:rPr>
          <w:lang w:val="en-GB"/>
        </w:rPr>
        <w:t xml:space="preserve">On </w:t>
      </w:r>
      <w:r w:rsidR="00F85AF1">
        <w:rPr>
          <w:lang w:val="en-GB"/>
        </w:rPr>
        <w:t>18 April 2012,</w:t>
      </w:r>
      <w:r w:rsidRPr="00A5537A">
        <w:rPr>
          <w:lang w:val="en-GB"/>
        </w:rPr>
        <w:t xml:space="preserve"> the Panel communicated the case to the Special Representative of the Secretary-General (SRSG)</w:t>
      </w:r>
      <w:r w:rsidR="00F3473D" w:rsidRPr="00A5537A">
        <w:rPr>
          <w:rStyle w:val="FootnoteReference"/>
          <w:lang w:val="en-GB"/>
        </w:rPr>
        <w:footnoteReference w:id="1"/>
      </w:r>
      <w:r w:rsidRPr="00A5537A">
        <w:rPr>
          <w:lang w:val="en-GB"/>
        </w:rPr>
        <w:t xml:space="preserve"> for UNMIK’s comments on the admissibility of the case.</w:t>
      </w:r>
      <w:r w:rsidR="00F87807" w:rsidRPr="00A5537A">
        <w:rPr>
          <w:lang w:val="en-GB"/>
        </w:rPr>
        <w:t xml:space="preserve">  </w:t>
      </w:r>
      <w:r w:rsidRPr="00A5537A">
        <w:rPr>
          <w:lang w:val="en-GB"/>
        </w:rPr>
        <w:t xml:space="preserve">On </w:t>
      </w:r>
      <w:r w:rsidR="00F85AF1">
        <w:rPr>
          <w:lang w:val="en-GB"/>
        </w:rPr>
        <w:t>28 May 2012</w:t>
      </w:r>
      <w:r w:rsidRPr="00A5537A">
        <w:rPr>
          <w:lang w:val="en-GB"/>
        </w:rPr>
        <w:t xml:space="preserve">, </w:t>
      </w:r>
      <w:r w:rsidR="002201E7" w:rsidRPr="00A5537A">
        <w:rPr>
          <w:lang w:val="en-GB"/>
        </w:rPr>
        <w:t>the SRSG</w:t>
      </w:r>
      <w:r w:rsidRPr="00A5537A">
        <w:rPr>
          <w:lang w:val="en-GB"/>
        </w:rPr>
        <w:t xml:space="preserve"> provided </w:t>
      </w:r>
      <w:r w:rsidR="002201E7" w:rsidRPr="00A5537A">
        <w:rPr>
          <w:lang w:val="en-GB"/>
        </w:rPr>
        <w:t>UNMIK’s</w:t>
      </w:r>
      <w:r w:rsidRPr="00A5537A">
        <w:rPr>
          <w:lang w:val="en-GB"/>
        </w:rPr>
        <w:t xml:space="preserve"> response</w:t>
      </w:r>
      <w:r w:rsidR="004234FA" w:rsidRPr="00A5537A">
        <w:rPr>
          <w:lang w:val="en-GB"/>
        </w:rPr>
        <w:t>.</w:t>
      </w:r>
      <w:r w:rsidR="007C65E0" w:rsidRPr="00A5537A">
        <w:rPr>
          <w:lang w:val="en-GB"/>
        </w:rPr>
        <w:t xml:space="preserve"> </w:t>
      </w:r>
    </w:p>
    <w:p w:rsidR="00F87807" w:rsidRPr="00A5537A" w:rsidRDefault="00F87807" w:rsidP="00F85AF1">
      <w:pPr>
        <w:widowControl w:val="0"/>
        <w:tabs>
          <w:tab w:val="left" w:pos="360"/>
          <w:tab w:val="left" w:pos="1080"/>
        </w:tabs>
        <w:suppressAutoHyphens/>
        <w:jc w:val="both"/>
        <w:rPr>
          <w:lang w:val="en-GB"/>
        </w:rPr>
      </w:pPr>
    </w:p>
    <w:p w:rsidR="0016154E" w:rsidRPr="00A5537A" w:rsidRDefault="0016154E" w:rsidP="00EC64DD">
      <w:pPr>
        <w:widowControl w:val="0"/>
        <w:numPr>
          <w:ilvl w:val="0"/>
          <w:numId w:val="5"/>
        </w:numPr>
        <w:tabs>
          <w:tab w:val="left" w:pos="360"/>
          <w:tab w:val="left" w:pos="1080"/>
        </w:tabs>
        <w:suppressAutoHyphens/>
        <w:jc w:val="both"/>
        <w:rPr>
          <w:lang w:val="en-GB"/>
        </w:rPr>
      </w:pPr>
      <w:r w:rsidRPr="00A5537A">
        <w:rPr>
          <w:lang w:val="en-GB"/>
        </w:rPr>
        <w:t xml:space="preserve">On </w:t>
      </w:r>
      <w:r w:rsidR="00F85AF1">
        <w:rPr>
          <w:lang w:val="en-GB"/>
        </w:rPr>
        <w:t>17 August 2012</w:t>
      </w:r>
      <w:r w:rsidR="001852D9" w:rsidRPr="00A5537A">
        <w:rPr>
          <w:lang w:val="en-GB"/>
        </w:rPr>
        <w:t>,</w:t>
      </w:r>
      <w:r w:rsidR="00F87807" w:rsidRPr="00A5537A">
        <w:rPr>
          <w:lang w:val="en-GB"/>
        </w:rPr>
        <w:t xml:space="preserve"> </w:t>
      </w:r>
      <w:r w:rsidRPr="00A5537A">
        <w:rPr>
          <w:lang w:val="en-GB"/>
        </w:rPr>
        <w:t>the Panel declared the complaint admissible.</w:t>
      </w:r>
    </w:p>
    <w:p w:rsidR="0016154E" w:rsidRPr="00A5537A" w:rsidRDefault="0016154E" w:rsidP="00EC64DD">
      <w:pPr>
        <w:widowControl w:val="0"/>
        <w:tabs>
          <w:tab w:val="left" w:pos="360"/>
          <w:tab w:val="left" w:pos="1080"/>
        </w:tabs>
        <w:suppressAutoHyphens/>
        <w:ind w:left="360" w:hanging="360"/>
        <w:jc w:val="both"/>
        <w:rPr>
          <w:lang w:val="en-GB"/>
        </w:rPr>
      </w:pPr>
    </w:p>
    <w:p w:rsidR="002579EE" w:rsidRPr="00A5537A" w:rsidRDefault="00F87807" w:rsidP="00EC64DD">
      <w:pPr>
        <w:widowControl w:val="0"/>
        <w:numPr>
          <w:ilvl w:val="0"/>
          <w:numId w:val="5"/>
        </w:numPr>
        <w:tabs>
          <w:tab w:val="left" w:pos="360"/>
          <w:tab w:val="left" w:pos="1080"/>
        </w:tabs>
        <w:suppressAutoHyphens/>
        <w:jc w:val="both"/>
        <w:rPr>
          <w:lang w:val="en-GB"/>
        </w:rPr>
      </w:pPr>
      <w:r w:rsidRPr="00A5537A">
        <w:rPr>
          <w:lang w:val="en-GB"/>
        </w:rPr>
        <w:t>On</w:t>
      </w:r>
      <w:r w:rsidR="0016154E" w:rsidRPr="00A5537A">
        <w:rPr>
          <w:lang w:val="en-GB"/>
        </w:rPr>
        <w:t xml:space="preserve"> </w:t>
      </w:r>
      <w:r w:rsidR="00F85AF1">
        <w:rPr>
          <w:lang w:val="en-GB"/>
        </w:rPr>
        <w:t>7</w:t>
      </w:r>
      <w:r w:rsidR="0016154E" w:rsidRPr="00A5537A">
        <w:rPr>
          <w:lang w:val="en-GB"/>
        </w:rPr>
        <w:t xml:space="preserve"> </w:t>
      </w:r>
      <w:r w:rsidR="00F85AF1">
        <w:rPr>
          <w:lang w:val="en-GB"/>
        </w:rPr>
        <w:t>September</w:t>
      </w:r>
      <w:r w:rsidRPr="00A5537A">
        <w:rPr>
          <w:lang w:val="en-GB"/>
        </w:rPr>
        <w:t xml:space="preserve"> </w:t>
      </w:r>
      <w:r w:rsidR="0016154E" w:rsidRPr="00A5537A">
        <w:rPr>
          <w:lang w:val="en-GB"/>
        </w:rPr>
        <w:t>201</w:t>
      </w:r>
      <w:r w:rsidR="00F85AF1">
        <w:rPr>
          <w:lang w:val="en-GB"/>
        </w:rPr>
        <w:t>2</w:t>
      </w:r>
      <w:r w:rsidR="001852D9" w:rsidRPr="00A5537A">
        <w:rPr>
          <w:lang w:val="en-GB"/>
        </w:rPr>
        <w:t>,</w:t>
      </w:r>
      <w:r w:rsidR="0016154E" w:rsidRPr="00A5537A">
        <w:rPr>
          <w:lang w:val="en-GB"/>
        </w:rPr>
        <w:t xml:space="preserve"> the </w:t>
      </w:r>
      <w:r w:rsidRPr="00A5537A">
        <w:rPr>
          <w:lang w:val="en-GB"/>
        </w:rPr>
        <w:t xml:space="preserve">Panel </w:t>
      </w:r>
      <w:r w:rsidR="003A3E9C" w:rsidRPr="00F85AF1">
        <w:rPr>
          <w:lang w:val="en-GB"/>
        </w:rPr>
        <w:t>forwarded</w:t>
      </w:r>
      <w:r w:rsidRPr="00A5537A">
        <w:rPr>
          <w:lang w:val="en-GB"/>
        </w:rPr>
        <w:t xml:space="preserve"> the decision on admissibility to the </w:t>
      </w:r>
      <w:r w:rsidR="0016154E" w:rsidRPr="00A5537A">
        <w:rPr>
          <w:lang w:val="en-GB"/>
        </w:rPr>
        <w:t>SRSG</w:t>
      </w:r>
      <w:r w:rsidRPr="00A5537A">
        <w:rPr>
          <w:lang w:val="en-GB"/>
        </w:rPr>
        <w:t xml:space="preserve">, inviting </w:t>
      </w:r>
      <w:r w:rsidR="001852D9" w:rsidRPr="00A5537A">
        <w:rPr>
          <w:lang w:val="en-GB"/>
        </w:rPr>
        <w:t>UNMIK’s observations o</w:t>
      </w:r>
      <w:r w:rsidRPr="00A5537A">
        <w:rPr>
          <w:lang w:val="en-GB"/>
        </w:rPr>
        <w:t>n the merits of the case</w:t>
      </w:r>
      <w:r w:rsidR="0016154E" w:rsidRPr="00A5537A">
        <w:rPr>
          <w:lang w:val="en-GB"/>
        </w:rPr>
        <w:t>.</w:t>
      </w:r>
      <w:r w:rsidR="002579EE" w:rsidRPr="00A5537A">
        <w:rPr>
          <w:lang w:val="en-GB"/>
        </w:rPr>
        <w:t xml:space="preserve"> </w:t>
      </w:r>
      <w:r w:rsidR="009F2F33" w:rsidRPr="00A5537A">
        <w:rPr>
          <w:lang w:val="en-GB"/>
        </w:rPr>
        <w:t>On</w:t>
      </w:r>
      <w:r w:rsidR="0016154E" w:rsidRPr="00A5537A">
        <w:rPr>
          <w:lang w:val="en-GB"/>
        </w:rPr>
        <w:t xml:space="preserve"> </w:t>
      </w:r>
      <w:r w:rsidR="00F85AF1">
        <w:rPr>
          <w:lang w:val="en-GB"/>
        </w:rPr>
        <w:t>4</w:t>
      </w:r>
      <w:r w:rsidR="0016154E" w:rsidRPr="00A5537A">
        <w:rPr>
          <w:lang w:val="en-GB"/>
        </w:rPr>
        <w:t xml:space="preserve"> </w:t>
      </w:r>
      <w:r w:rsidR="00F85AF1">
        <w:rPr>
          <w:lang w:val="en-GB"/>
        </w:rPr>
        <w:t xml:space="preserve">March </w:t>
      </w:r>
      <w:r w:rsidR="0016154E" w:rsidRPr="00A5537A">
        <w:rPr>
          <w:lang w:val="en-GB"/>
        </w:rPr>
        <w:t>201</w:t>
      </w:r>
      <w:r w:rsidR="00F85AF1">
        <w:rPr>
          <w:lang w:val="en-GB"/>
        </w:rPr>
        <w:t>3</w:t>
      </w:r>
      <w:r w:rsidR="009F2F33" w:rsidRPr="00A5537A">
        <w:rPr>
          <w:lang w:val="en-GB"/>
        </w:rPr>
        <w:t>, the SRSG provided UNMIK’s response</w:t>
      </w:r>
      <w:r w:rsidR="002579EE" w:rsidRPr="00A5537A">
        <w:rPr>
          <w:lang w:val="en-GB"/>
        </w:rPr>
        <w:t>.</w:t>
      </w:r>
    </w:p>
    <w:p w:rsidR="003A3E9C" w:rsidRPr="00F85AF1" w:rsidRDefault="003A3E9C" w:rsidP="00F85AF1">
      <w:pPr>
        <w:tabs>
          <w:tab w:val="left" w:pos="360"/>
        </w:tabs>
        <w:rPr>
          <w:lang w:val="en-GB"/>
        </w:rPr>
      </w:pPr>
    </w:p>
    <w:p w:rsidR="005B71F4" w:rsidRDefault="002862F4" w:rsidP="00EC64DD">
      <w:pPr>
        <w:widowControl w:val="0"/>
        <w:numPr>
          <w:ilvl w:val="0"/>
          <w:numId w:val="5"/>
        </w:numPr>
        <w:tabs>
          <w:tab w:val="left" w:pos="360"/>
          <w:tab w:val="left" w:pos="1080"/>
        </w:tabs>
        <w:suppressAutoHyphens/>
        <w:jc w:val="both"/>
        <w:rPr>
          <w:lang w:val="en-GB"/>
        </w:rPr>
      </w:pPr>
      <w:r w:rsidRPr="00C91DB9">
        <w:rPr>
          <w:lang w:val="en-GB"/>
        </w:rPr>
        <w:t>On 18 A</w:t>
      </w:r>
      <w:r w:rsidR="00F85AF1">
        <w:rPr>
          <w:lang w:val="en-GB"/>
        </w:rPr>
        <w:t>pril 2012</w:t>
      </w:r>
      <w:r w:rsidRPr="00C91DB9">
        <w:rPr>
          <w:lang w:val="en-GB"/>
        </w:rPr>
        <w:t xml:space="preserve">, the Panel requested UNMIK for investigative files. </w:t>
      </w:r>
      <w:r w:rsidR="00F85AF1">
        <w:rPr>
          <w:lang w:val="en-GB"/>
        </w:rPr>
        <w:t>On 28 May 2012</w:t>
      </w:r>
      <w:r w:rsidRPr="00C91DB9">
        <w:rPr>
          <w:lang w:val="en-GB"/>
        </w:rPr>
        <w:t>,</w:t>
      </w:r>
      <w:r w:rsidR="002579EE" w:rsidRPr="00C91DB9">
        <w:rPr>
          <w:lang w:val="en-GB"/>
        </w:rPr>
        <w:t xml:space="preserve"> </w:t>
      </w:r>
      <w:r w:rsidRPr="00C91DB9">
        <w:rPr>
          <w:lang w:val="en-GB"/>
        </w:rPr>
        <w:t>UNMIK responded. The Panel re</w:t>
      </w:r>
      <w:r w:rsidR="00F85AF1">
        <w:rPr>
          <w:lang w:val="en-GB"/>
        </w:rPr>
        <w:t>peated its request on 10</w:t>
      </w:r>
      <w:r w:rsidRPr="00C91DB9">
        <w:rPr>
          <w:lang w:val="en-GB"/>
        </w:rPr>
        <w:t xml:space="preserve"> </w:t>
      </w:r>
      <w:r w:rsidR="00F85AF1">
        <w:rPr>
          <w:lang w:val="en-GB"/>
        </w:rPr>
        <w:t xml:space="preserve">September </w:t>
      </w:r>
      <w:r w:rsidRPr="00C91DB9">
        <w:rPr>
          <w:lang w:val="en-GB"/>
        </w:rPr>
        <w:t xml:space="preserve">2012. UNMIK responded on </w:t>
      </w:r>
      <w:r w:rsidR="00F85AF1">
        <w:rPr>
          <w:lang w:val="en-GB"/>
        </w:rPr>
        <w:t>4 March 2013</w:t>
      </w:r>
      <w:r w:rsidR="002579EE" w:rsidRPr="00C91DB9">
        <w:rPr>
          <w:lang w:val="en-GB"/>
        </w:rPr>
        <w:t>.</w:t>
      </w:r>
    </w:p>
    <w:p w:rsidR="00F85AF1" w:rsidRDefault="00F85AF1" w:rsidP="00F85AF1">
      <w:pPr>
        <w:widowControl w:val="0"/>
        <w:tabs>
          <w:tab w:val="left" w:pos="1080"/>
        </w:tabs>
        <w:suppressAutoHyphens/>
        <w:ind w:left="360"/>
        <w:jc w:val="both"/>
        <w:rPr>
          <w:lang w:val="en-GB"/>
        </w:rPr>
      </w:pPr>
    </w:p>
    <w:p w:rsidR="00F85AF1" w:rsidRPr="00C91DB9" w:rsidRDefault="00F85AF1" w:rsidP="00EC64DD">
      <w:pPr>
        <w:widowControl w:val="0"/>
        <w:numPr>
          <w:ilvl w:val="0"/>
          <w:numId w:val="5"/>
        </w:numPr>
        <w:tabs>
          <w:tab w:val="left" w:pos="360"/>
          <w:tab w:val="left" w:pos="1080"/>
        </w:tabs>
        <w:suppressAutoHyphens/>
        <w:jc w:val="both"/>
        <w:rPr>
          <w:lang w:val="en-GB"/>
        </w:rPr>
      </w:pPr>
      <w:r>
        <w:rPr>
          <w:lang w:val="en-GB"/>
        </w:rPr>
        <w:t>On 29</w:t>
      </w:r>
      <w:r w:rsidRPr="00901D6F">
        <w:rPr>
          <w:lang w:val="en-GB"/>
        </w:rPr>
        <w:t xml:space="preserve"> </w:t>
      </w:r>
      <w:r>
        <w:rPr>
          <w:lang w:val="en-GB"/>
        </w:rPr>
        <w:t>April</w:t>
      </w:r>
      <w:r w:rsidRPr="00901D6F">
        <w:rPr>
          <w:lang w:val="en-GB"/>
        </w:rPr>
        <w:t xml:space="preserve"> 2013, the Panel requested UNMIK to confirm if the disclosure of files concerning the case could be considered final.  </w:t>
      </w:r>
      <w:r>
        <w:rPr>
          <w:lang w:val="en-GB"/>
        </w:rPr>
        <w:t>On 2 May</w:t>
      </w:r>
      <w:r w:rsidRPr="00901D6F">
        <w:rPr>
          <w:lang w:val="en-GB"/>
        </w:rPr>
        <w:t xml:space="preserve"> 2013, UNMIK responded affirmatively</w:t>
      </w:r>
      <w:r>
        <w:rPr>
          <w:lang w:val="en-GB"/>
        </w:rPr>
        <w:t>.</w:t>
      </w:r>
    </w:p>
    <w:p w:rsidR="007C65E0" w:rsidRPr="00A5537A" w:rsidRDefault="007C65E0" w:rsidP="00EC64DD">
      <w:pPr>
        <w:pStyle w:val="ListParagraph"/>
        <w:tabs>
          <w:tab w:val="left" w:pos="360"/>
        </w:tabs>
        <w:ind w:left="360" w:hanging="360"/>
        <w:rPr>
          <w:lang w:val="en-GB"/>
        </w:rPr>
      </w:pPr>
    </w:p>
    <w:p w:rsidR="000D21A8" w:rsidRPr="00A5537A" w:rsidRDefault="000D21A8" w:rsidP="00EC64DD">
      <w:pPr>
        <w:pStyle w:val="ListParagraph"/>
        <w:tabs>
          <w:tab w:val="left" w:pos="360"/>
        </w:tabs>
        <w:ind w:left="360" w:hanging="360"/>
        <w:rPr>
          <w:lang w:val="en-GB"/>
        </w:rPr>
      </w:pPr>
    </w:p>
    <w:p w:rsidR="007C65E0" w:rsidRPr="00A5537A" w:rsidRDefault="007C65E0" w:rsidP="00EC64DD">
      <w:pPr>
        <w:numPr>
          <w:ilvl w:val="0"/>
          <w:numId w:val="2"/>
        </w:numPr>
        <w:tabs>
          <w:tab w:val="left" w:pos="360"/>
        </w:tabs>
        <w:suppressAutoHyphens/>
        <w:autoSpaceDE w:val="0"/>
        <w:ind w:left="360" w:hanging="360"/>
        <w:jc w:val="both"/>
        <w:rPr>
          <w:b/>
          <w:bCs/>
          <w:lang w:val="en-GB"/>
        </w:rPr>
      </w:pPr>
      <w:r w:rsidRPr="00A5537A">
        <w:rPr>
          <w:b/>
          <w:bCs/>
          <w:lang w:val="en-GB"/>
        </w:rPr>
        <w:t>THE FACTS</w:t>
      </w:r>
    </w:p>
    <w:p w:rsidR="005B71F4" w:rsidRPr="002862F4" w:rsidRDefault="005B71F4" w:rsidP="00EC64DD">
      <w:pPr>
        <w:tabs>
          <w:tab w:val="left" w:pos="360"/>
        </w:tabs>
        <w:autoSpaceDE w:val="0"/>
        <w:ind w:left="360" w:hanging="360"/>
        <w:jc w:val="both"/>
        <w:rPr>
          <w:b/>
          <w:bCs/>
        </w:rPr>
      </w:pPr>
    </w:p>
    <w:p w:rsidR="005B71F4" w:rsidRPr="00A5537A" w:rsidRDefault="005B71F4" w:rsidP="00EC64DD">
      <w:pPr>
        <w:numPr>
          <w:ilvl w:val="0"/>
          <w:numId w:val="15"/>
        </w:numPr>
        <w:tabs>
          <w:tab w:val="left" w:pos="360"/>
        </w:tabs>
        <w:contextualSpacing/>
        <w:jc w:val="both"/>
        <w:rPr>
          <w:b/>
          <w:lang w:val="en-GB"/>
        </w:rPr>
      </w:pPr>
      <w:r w:rsidRPr="00A5537A">
        <w:rPr>
          <w:b/>
          <w:lang w:val="en-GB"/>
        </w:rPr>
        <w:t>General background</w:t>
      </w:r>
      <w:r w:rsidRPr="00A5537A">
        <w:rPr>
          <w:rStyle w:val="FootnoteReference"/>
          <w:b/>
          <w:lang w:val="en-GB"/>
        </w:rPr>
        <w:footnoteReference w:id="2"/>
      </w:r>
      <w:r w:rsidRPr="00A5537A">
        <w:rPr>
          <w:b/>
          <w:lang w:val="en-GB"/>
        </w:rPr>
        <w:t xml:space="preserve"> </w:t>
      </w:r>
    </w:p>
    <w:p w:rsidR="005B71F4" w:rsidRPr="00A5537A" w:rsidRDefault="005B71F4" w:rsidP="00EC64DD">
      <w:pPr>
        <w:tabs>
          <w:tab w:val="left" w:pos="360"/>
        </w:tabs>
        <w:ind w:left="360" w:hanging="360"/>
        <w:contextualSpacing/>
        <w:jc w:val="both"/>
        <w:rPr>
          <w:b/>
          <w:lang w:val="en-GB"/>
        </w:rPr>
      </w:pPr>
    </w:p>
    <w:p w:rsidR="005B71F4" w:rsidRPr="00A5537A" w:rsidRDefault="005B71F4" w:rsidP="00EC64DD">
      <w:pPr>
        <w:widowControl w:val="0"/>
        <w:numPr>
          <w:ilvl w:val="0"/>
          <w:numId w:val="5"/>
        </w:numPr>
        <w:tabs>
          <w:tab w:val="left" w:pos="360"/>
          <w:tab w:val="left" w:pos="1080"/>
        </w:tabs>
        <w:suppressAutoHyphens/>
        <w:jc w:val="both"/>
        <w:rPr>
          <w:lang w:val="en-GB"/>
        </w:rPr>
      </w:pPr>
      <w:r w:rsidRPr="00A5537A">
        <w:rPr>
          <w:lang w:val="en-GB"/>
        </w:rPr>
        <w:t xml:space="preserve">The events at issue took place in the territory of Kosovo after the establishment of the United Nations Interim Administration Mission in Kosovo (UNMIK), in June 1999. </w:t>
      </w:r>
    </w:p>
    <w:p w:rsidR="005B71F4" w:rsidRPr="00A5537A" w:rsidRDefault="005B71F4" w:rsidP="00EC64DD">
      <w:pPr>
        <w:tabs>
          <w:tab w:val="left" w:pos="360"/>
        </w:tabs>
        <w:ind w:left="360" w:hanging="360"/>
        <w:jc w:val="both"/>
        <w:rPr>
          <w:lang w:val="en-GB"/>
        </w:rPr>
      </w:pPr>
    </w:p>
    <w:p w:rsidR="005B71F4" w:rsidRPr="00A5537A" w:rsidRDefault="005B71F4" w:rsidP="00EC64DD">
      <w:pPr>
        <w:widowControl w:val="0"/>
        <w:numPr>
          <w:ilvl w:val="0"/>
          <w:numId w:val="5"/>
        </w:numPr>
        <w:tabs>
          <w:tab w:val="left" w:pos="360"/>
          <w:tab w:val="left" w:pos="1080"/>
        </w:tabs>
        <w:suppressAutoHyphens/>
        <w:jc w:val="both"/>
        <w:rPr>
          <w:lang w:val="en-GB"/>
        </w:rPr>
      </w:pPr>
      <w:r w:rsidRPr="00A5537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5B71F4" w:rsidRPr="00A5537A" w:rsidRDefault="005B71F4" w:rsidP="00EC64DD">
      <w:pPr>
        <w:tabs>
          <w:tab w:val="left" w:pos="360"/>
        </w:tabs>
        <w:ind w:left="360" w:hanging="360"/>
        <w:jc w:val="both"/>
        <w:rPr>
          <w:lang w:val="en-GB"/>
        </w:rPr>
      </w:pPr>
    </w:p>
    <w:p w:rsidR="005B71F4" w:rsidRPr="00A5537A" w:rsidRDefault="005B71F4" w:rsidP="00EC64DD">
      <w:pPr>
        <w:pStyle w:val="ListParagraph"/>
        <w:numPr>
          <w:ilvl w:val="0"/>
          <w:numId w:val="5"/>
        </w:numPr>
        <w:tabs>
          <w:tab w:val="left" w:pos="360"/>
        </w:tabs>
        <w:suppressAutoHyphens w:val="0"/>
        <w:contextualSpacing/>
        <w:jc w:val="both"/>
        <w:rPr>
          <w:lang w:val="en-GB"/>
        </w:rPr>
      </w:pPr>
      <w:r w:rsidRPr="00A5537A">
        <w:rPr>
          <w:lang w:val="en-GB"/>
        </w:rPr>
        <w:t xml:space="preserve"> 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w:t>
      </w:r>
      <w:r w:rsidR="00C81172" w:rsidRPr="00A5537A">
        <w:rPr>
          <w:lang w:val="en-GB"/>
        </w:rPr>
        <w:t>ity Council Resolution No. 1244 (</w:t>
      </w:r>
      <w:r w:rsidRPr="00A5537A">
        <w:rPr>
          <w:lang w:val="en-GB"/>
        </w:rPr>
        <w:t>1999</w:t>
      </w:r>
      <w:r w:rsidR="00C81172" w:rsidRPr="00A5537A">
        <w:rPr>
          <w:lang w:val="en-GB"/>
        </w:rPr>
        <w:t>)</w:t>
      </w:r>
      <w:r w:rsidRPr="00A5537A">
        <w:rPr>
          <w:lang w:val="en-GB"/>
        </w:rPr>
        <w:t>,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5B71F4" w:rsidRPr="00A5537A" w:rsidRDefault="005B71F4" w:rsidP="00EC64DD">
      <w:pPr>
        <w:tabs>
          <w:tab w:val="left" w:pos="360"/>
        </w:tabs>
        <w:ind w:left="360" w:hanging="360"/>
        <w:jc w:val="both"/>
        <w:rPr>
          <w:lang w:val="en-GB"/>
        </w:rPr>
      </w:pPr>
    </w:p>
    <w:p w:rsidR="005B71F4" w:rsidRPr="00A5537A" w:rsidRDefault="005B71F4" w:rsidP="00EC64DD">
      <w:pPr>
        <w:pStyle w:val="ListParagraph"/>
        <w:numPr>
          <w:ilvl w:val="0"/>
          <w:numId w:val="5"/>
        </w:numPr>
        <w:tabs>
          <w:tab w:val="left" w:pos="360"/>
        </w:tabs>
        <w:suppressAutoHyphens w:val="0"/>
        <w:contextualSpacing/>
        <w:jc w:val="both"/>
        <w:rPr>
          <w:lang w:val="en-GB"/>
        </w:rPr>
      </w:pPr>
      <w:r w:rsidRPr="00A5537A">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pStyle w:val="ListParagraph"/>
        <w:numPr>
          <w:ilvl w:val="0"/>
          <w:numId w:val="5"/>
        </w:numPr>
        <w:tabs>
          <w:tab w:val="left" w:pos="360"/>
        </w:tabs>
        <w:suppressAutoHyphens w:val="0"/>
        <w:contextualSpacing/>
        <w:jc w:val="both"/>
        <w:rPr>
          <w:lang w:val="en-GB"/>
        </w:rPr>
      </w:pPr>
      <w:r w:rsidRPr="00A5537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pStyle w:val="ListParagraph"/>
        <w:numPr>
          <w:ilvl w:val="0"/>
          <w:numId w:val="5"/>
        </w:numPr>
        <w:tabs>
          <w:tab w:val="left" w:pos="360"/>
        </w:tabs>
        <w:suppressAutoHyphens w:val="0"/>
        <w:contextualSpacing/>
        <w:jc w:val="both"/>
        <w:rPr>
          <w:lang w:val="en-GB"/>
        </w:rPr>
      </w:pPr>
      <w:r w:rsidRPr="00A5537A">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w:t>
      </w:r>
      <w:r w:rsidR="006C7219" w:rsidRPr="00A5537A">
        <w:rPr>
          <w:lang w:val="en-GB"/>
        </w:rPr>
        <w:t xml:space="preserve">International Committee </w:t>
      </w:r>
      <w:r w:rsidR="006C7219" w:rsidRPr="00A5537A">
        <w:t>of the Red Cross</w:t>
      </w:r>
      <w:r w:rsidR="006C7219" w:rsidRPr="00A5537A">
        <w:rPr>
          <w:lang w:val="en-GB"/>
        </w:rPr>
        <w:t xml:space="preserve"> (</w:t>
      </w:r>
      <w:r w:rsidRPr="00A5537A">
        <w:rPr>
          <w:lang w:val="en-GB"/>
        </w:rPr>
        <w:t>ICRC</w:t>
      </w:r>
      <w:r w:rsidR="006C7219" w:rsidRPr="00A5537A">
        <w:rPr>
          <w:lang w:val="en-GB"/>
        </w:rPr>
        <w:t>)</w:t>
      </w:r>
      <w:r w:rsidRPr="00A5537A">
        <w:rPr>
          <w:lang w:val="en-GB"/>
        </w:rPr>
        <w:t xml:space="preserve"> as of October 2012.</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jc w:val="both"/>
        <w:rPr>
          <w:lang w:val="en-GB"/>
        </w:rPr>
      </w:pPr>
      <w:r w:rsidRPr="00A5537A">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w:t>
      </w:r>
      <w:r w:rsidR="006906A3" w:rsidRPr="00A5537A">
        <w:t xml:space="preserve"> By September 1999, approximately 1,100 international police officers had been deployed to UNMIK.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numPr>
          <w:ilvl w:val="0"/>
          <w:numId w:val="5"/>
        </w:numPr>
        <w:tabs>
          <w:tab w:val="left" w:pos="360"/>
        </w:tabs>
        <w:jc w:val="both"/>
        <w:rPr>
          <w:lang w:val="en-GB"/>
        </w:rPr>
      </w:pPr>
      <w:bookmarkStart w:id="1" w:name="_Ref346725038"/>
      <w:r w:rsidRPr="00A5537A">
        <w:rPr>
          <w:lang w:val="en-GB"/>
        </w:rPr>
        <w:t xml:space="preserve">By December 2000, the deployment of UNMIK Police was almost complete with 4,400 personnel from 53 different countries, and UNMIK had assumed primacy in law enforcement responsibility in all regions of Kosovo except for Mitrovicë/Mitrovica. According to the </w:t>
      </w:r>
      <w:r w:rsidR="00C81172" w:rsidRPr="00A5537A">
        <w:rPr>
          <w:lang w:val="en-GB"/>
        </w:rPr>
        <w:t>2000</w:t>
      </w:r>
      <w:r w:rsidRPr="00A5537A">
        <w:rPr>
          <w:lang w:val="en-GB"/>
        </w:rPr>
        <w:t xml:space="preserve"> Annual Report of UNMIK Police, 351 kidnappings, 675 murders and 115 rapes had been reported to them in the period between June 1999 and December 2000.</w:t>
      </w:r>
      <w:bookmarkEnd w:id="1"/>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jc w:val="both"/>
        <w:rPr>
          <w:lang w:val="en-GB"/>
        </w:rPr>
      </w:pPr>
      <w:bookmarkStart w:id="2" w:name="_Ref346123767"/>
      <w:r w:rsidRPr="00A5537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2"/>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jc w:val="both"/>
        <w:rPr>
          <w:lang w:val="en-GB"/>
        </w:rPr>
      </w:pPr>
      <w:bookmarkStart w:id="3" w:name="_Ref346725040"/>
      <w:r w:rsidRPr="00A5537A">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A5537A">
        <w:rPr>
          <w:lang w:val="en-GB"/>
        </w:rPr>
        <w:t>persons</w:t>
      </w:r>
      <w:proofErr w:type="gramEnd"/>
      <w:r w:rsidRPr="00A5537A">
        <w:rPr>
          <w:lang w:val="en-GB"/>
        </w:rPr>
        <w:t xml:space="preserve"> cases in Kosovo. In May 2000, a Victim Recovery and Identification Commission (VRIC) chaired by UNMIK </w:t>
      </w:r>
      <w:proofErr w:type="gramStart"/>
      <w:r w:rsidRPr="00A5537A">
        <w:rPr>
          <w:lang w:val="en-GB"/>
        </w:rPr>
        <w:t>was</w:t>
      </w:r>
      <w:proofErr w:type="gramEnd"/>
      <w:r w:rsidRPr="00A5537A">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A5537A">
        <w:rPr>
          <w:lang w:val="en-GB"/>
        </w:rPr>
        <w:t>persons,</w:t>
      </w:r>
      <w:proofErr w:type="gramEnd"/>
      <w:r w:rsidRPr="00A5537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3"/>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jc w:val="both"/>
        <w:rPr>
          <w:lang w:val="en-GB"/>
        </w:rPr>
      </w:pPr>
      <w:bookmarkStart w:id="4" w:name="_Ref346123927"/>
      <w:r w:rsidRPr="00A5537A">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4"/>
    </w:p>
    <w:p w:rsidR="005B71F4" w:rsidRPr="00A5537A" w:rsidRDefault="005B71F4" w:rsidP="00EC64DD">
      <w:pPr>
        <w:pStyle w:val="ListParagraph"/>
        <w:tabs>
          <w:tab w:val="left" w:pos="360"/>
        </w:tabs>
        <w:ind w:left="360" w:hanging="360"/>
        <w:rPr>
          <w:lang w:val="en-GB"/>
        </w:rPr>
      </w:pPr>
    </w:p>
    <w:p w:rsidR="00F85AF1" w:rsidRDefault="005B71F4" w:rsidP="00F85AF1">
      <w:pPr>
        <w:numPr>
          <w:ilvl w:val="0"/>
          <w:numId w:val="5"/>
        </w:numPr>
        <w:tabs>
          <w:tab w:val="left" w:pos="360"/>
        </w:tabs>
        <w:jc w:val="both"/>
        <w:rPr>
          <w:lang w:val="en-GB"/>
        </w:rPr>
      </w:pPr>
      <w:bookmarkStart w:id="5" w:name="_Ref346123928"/>
      <w:r w:rsidRPr="00A5537A">
        <w:rPr>
          <w:lang w:val="en-GB"/>
        </w:rPr>
        <w:t>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5"/>
    </w:p>
    <w:p w:rsidR="00F85AF1" w:rsidRDefault="00F85AF1" w:rsidP="00F85AF1">
      <w:pPr>
        <w:tabs>
          <w:tab w:val="left" w:pos="360"/>
        </w:tabs>
        <w:ind w:left="360"/>
        <w:jc w:val="both"/>
        <w:rPr>
          <w:lang w:val="en-GB"/>
        </w:rPr>
      </w:pPr>
    </w:p>
    <w:p w:rsidR="00F85AF1" w:rsidRPr="00A5537A" w:rsidRDefault="00F85AF1" w:rsidP="00F85AF1">
      <w:pPr>
        <w:numPr>
          <w:ilvl w:val="0"/>
          <w:numId w:val="15"/>
        </w:numPr>
        <w:tabs>
          <w:tab w:val="left" w:pos="360"/>
        </w:tabs>
        <w:contextualSpacing/>
        <w:jc w:val="both"/>
        <w:rPr>
          <w:b/>
        </w:rPr>
      </w:pPr>
      <w:r w:rsidRPr="00A5537A">
        <w:rPr>
          <w:b/>
        </w:rPr>
        <w:t xml:space="preserve">Circumstances surrounding the </w:t>
      </w:r>
      <w:r>
        <w:rPr>
          <w:b/>
        </w:rPr>
        <w:t>abduction</w:t>
      </w:r>
      <w:r w:rsidRPr="00D63039">
        <w:rPr>
          <w:b/>
          <w:color w:val="FF0000"/>
        </w:rPr>
        <w:t xml:space="preserve"> </w:t>
      </w:r>
      <w:r w:rsidRPr="00F85AF1">
        <w:rPr>
          <w:b/>
        </w:rPr>
        <w:t>and</w:t>
      </w:r>
      <w:r>
        <w:rPr>
          <w:b/>
          <w:color w:val="FF0000"/>
        </w:rPr>
        <w:t xml:space="preserve"> </w:t>
      </w:r>
      <w:r w:rsidRPr="00D63039">
        <w:rPr>
          <w:b/>
        </w:rPr>
        <w:t>k</w:t>
      </w:r>
      <w:r>
        <w:rPr>
          <w:b/>
        </w:rPr>
        <w:t>illing</w:t>
      </w:r>
      <w:r w:rsidRPr="00A5537A">
        <w:rPr>
          <w:b/>
        </w:rPr>
        <w:t xml:space="preserve"> of </w:t>
      </w:r>
      <w:proofErr w:type="spellStart"/>
      <w:r>
        <w:rPr>
          <w:b/>
        </w:rPr>
        <w:t>Mr</w:t>
      </w:r>
      <w:proofErr w:type="spellEnd"/>
      <w:r>
        <w:rPr>
          <w:b/>
        </w:rPr>
        <w:t xml:space="preserve"> </w:t>
      </w:r>
      <w:proofErr w:type="spellStart"/>
      <w:r w:rsidRPr="00F85AF1">
        <w:rPr>
          <w:b/>
          <w:lang w:val="en-GB"/>
        </w:rPr>
        <w:t>Dimitrije</w:t>
      </w:r>
      <w:proofErr w:type="spellEnd"/>
      <w:r w:rsidRPr="00F85AF1">
        <w:rPr>
          <w:b/>
          <w:lang w:val="en-GB"/>
        </w:rPr>
        <w:t xml:space="preserve"> </w:t>
      </w:r>
      <w:proofErr w:type="spellStart"/>
      <w:r w:rsidRPr="00F85AF1">
        <w:rPr>
          <w:b/>
          <w:lang w:val="en-GB"/>
        </w:rPr>
        <w:t>Milenković</w:t>
      </w:r>
      <w:proofErr w:type="spellEnd"/>
      <w:r>
        <w:rPr>
          <w:b/>
          <w:lang w:val="en-GB"/>
        </w:rPr>
        <w:t xml:space="preserve"> and Mr </w:t>
      </w:r>
      <w:proofErr w:type="spellStart"/>
      <w:r w:rsidRPr="00F85AF1">
        <w:rPr>
          <w:b/>
          <w:lang w:val="en-GB"/>
        </w:rPr>
        <w:t>Aleksandar</w:t>
      </w:r>
      <w:proofErr w:type="spellEnd"/>
      <w:r w:rsidRPr="00F85AF1">
        <w:rPr>
          <w:b/>
          <w:lang w:val="en-GB"/>
        </w:rPr>
        <w:t xml:space="preserve"> </w:t>
      </w:r>
      <w:proofErr w:type="spellStart"/>
      <w:r w:rsidRPr="00F85AF1">
        <w:rPr>
          <w:b/>
          <w:lang w:val="en-GB"/>
        </w:rPr>
        <w:t>Milenković</w:t>
      </w:r>
      <w:proofErr w:type="spellEnd"/>
      <w:r>
        <w:rPr>
          <w:b/>
          <w:lang w:val="en-GB"/>
        </w:rPr>
        <w:t xml:space="preserve"> </w:t>
      </w:r>
      <w:r>
        <w:rPr>
          <w:b/>
        </w:rPr>
        <w:t xml:space="preserve"> </w:t>
      </w:r>
    </w:p>
    <w:p w:rsidR="00F85AF1" w:rsidRDefault="00F85AF1" w:rsidP="00F85AF1">
      <w:pPr>
        <w:jc w:val="both"/>
        <w:rPr>
          <w:lang w:val="en-GB"/>
        </w:rPr>
      </w:pPr>
    </w:p>
    <w:p w:rsidR="00F85AF1" w:rsidRPr="00754DBD" w:rsidRDefault="00F85AF1" w:rsidP="00F85AF1">
      <w:pPr>
        <w:numPr>
          <w:ilvl w:val="0"/>
          <w:numId w:val="5"/>
        </w:numPr>
        <w:tabs>
          <w:tab w:val="left" w:pos="360"/>
        </w:tabs>
        <w:jc w:val="both"/>
        <w:rPr>
          <w:lang w:val="en-GB"/>
        </w:rPr>
      </w:pPr>
      <w:r w:rsidRPr="00754DBD">
        <w:rPr>
          <w:lang w:val="en-GB"/>
        </w:rPr>
        <w:t>The complainants,</w:t>
      </w:r>
      <w:r w:rsidR="00754DBD" w:rsidRPr="00754DBD">
        <w:rPr>
          <w:lang w:val="en-GB"/>
        </w:rPr>
        <w:t xml:space="preserve"> Mrs </w:t>
      </w:r>
      <w:proofErr w:type="spellStart"/>
      <w:r w:rsidR="00754DBD" w:rsidRPr="00754DBD">
        <w:rPr>
          <w:lang w:val="en-GB"/>
        </w:rPr>
        <w:t>Snežana</w:t>
      </w:r>
      <w:proofErr w:type="spellEnd"/>
      <w:r w:rsidR="00754DBD" w:rsidRPr="00754DBD">
        <w:rPr>
          <w:lang w:val="en-GB"/>
        </w:rPr>
        <w:t xml:space="preserve"> </w:t>
      </w:r>
      <w:proofErr w:type="spellStart"/>
      <w:r w:rsidR="00754DBD" w:rsidRPr="00754DBD">
        <w:rPr>
          <w:lang w:val="en-GB"/>
        </w:rPr>
        <w:t>Milenković</w:t>
      </w:r>
      <w:proofErr w:type="spellEnd"/>
      <w:r w:rsidR="00754DBD" w:rsidRPr="00754DBD">
        <w:rPr>
          <w:lang w:val="en-GB"/>
        </w:rPr>
        <w:t xml:space="preserve"> (case </w:t>
      </w:r>
      <w:proofErr w:type="spellStart"/>
      <w:r w:rsidR="00754DBD" w:rsidRPr="00754DBD">
        <w:rPr>
          <w:lang w:val="en-GB"/>
        </w:rPr>
        <w:t>nos</w:t>
      </w:r>
      <w:proofErr w:type="spellEnd"/>
      <w:r w:rsidR="00754DBD" w:rsidRPr="00754DBD">
        <w:rPr>
          <w:lang w:val="en-GB"/>
        </w:rPr>
        <w:t xml:space="preserve"> 168/09 and 169/09) and</w:t>
      </w:r>
      <w:r w:rsidRPr="00754DBD">
        <w:rPr>
          <w:lang w:val="en-GB"/>
        </w:rPr>
        <w:t xml:space="preserve"> Mr </w:t>
      </w:r>
      <w:proofErr w:type="spellStart"/>
      <w:r w:rsidRPr="00754DBD">
        <w:rPr>
          <w:lang w:val="en-GB"/>
        </w:rPr>
        <w:t>Momčilo</w:t>
      </w:r>
      <w:proofErr w:type="spellEnd"/>
      <w:r w:rsidRPr="00754DBD">
        <w:rPr>
          <w:lang w:val="en-GB"/>
        </w:rPr>
        <w:t xml:space="preserve"> </w:t>
      </w:r>
      <w:proofErr w:type="spellStart"/>
      <w:r w:rsidRPr="00754DBD">
        <w:rPr>
          <w:lang w:val="en-GB"/>
        </w:rPr>
        <w:t>Milenković</w:t>
      </w:r>
      <w:proofErr w:type="spellEnd"/>
      <w:r w:rsidR="00E061C8">
        <w:rPr>
          <w:lang w:val="en-GB"/>
        </w:rPr>
        <w:t xml:space="preserve"> (</w:t>
      </w:r>
      <w:r w:rsidR="00754DBD" w:rsidRPr="00754DBD">
        <w:rPr>
          <w:lang w:val="en-GB"/>
        </w:rPr>
        <w:t xml:space="preserve">case no.312/09), are the </w:t>
      </w:r>
      <w:r w:rsidRPr="00754DBD">
        <w:rPr>
          <w:lang w:val="en-GB"/>
        </w:rPr>
        <w:t>widow</w:t>
      </w:r>
      <w:r w:rsidR="00754DBD" w:rsidRPr="00754DBD">
        <w:rPr>
          <w:lang w:val="en-GB"/>
        </w:rPr>
        <w:t xml:space="preserve"> and brother</w:t>
      </w:r>
      <w:r w:rsidRPr="00754DBD">
        <w:rPr>
          <w:lang w:val="en-GB"/>
        </w:rPr>
        <w:t xml:space="preserve">, respectively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w:t>
      </w:r>
      <w:r w:rsidRPr="00754DBD">
        <w:rPr>
          <w:b/>
          <w:lang w:val="en-GB"/>
        </w:rPr>
        <w:t xml:space="preserve"> </w:t>
      </w:r>
      <w:r w:rsidRPr="00754DBD">
        <w:rPr>
          <w:lang w:val="en-GB"/>
        </w:rPr>
        <w:t xml:space="preserve">Mrs </w:t>
      </w:r>
      <w:proofErr w:type="spellStart"/>
      <w:r w:rsidRPr="00754DBD">
        <w:rPr>
          <w:lang w:val="en-GB"/>
        </w:rPr>
        <w:t>Snežana</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is the mother of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w:t>
      </w:r>
      <w:r w:rsidRPr="00754DBD">
        <w:rPr>
          <w:b/>
          <w:lang w:val="en-GB"/>
        </w:rPr>
        <w:t xml:space="preserve"> </w:t>
      </w:r>
      <w:r w:rsidRPr="00754DBD">
        <w:rPr>
          <w:b/>
        </w:rPr>
        <w:t xml:space="preserve"> </w:t>
      </w:r>
    </w:p>
    <w:p w:rsidR="00F85AF1" w:rsidRPr="00754DBD" w:rsidRDefault="00F85AF1" w:rsidP="00F85AF1">
      <w:pPr>
        <w:ind w:left="360"/>
        <w:jc w:val="both"/>
        <w:rPr>
          <w:lang w:val="en-GB"/>
        </w:rPr>
      </w:pPr>
    </w:p>
    <w:p w:rsidR="00F85AF1" w:rsidRPr="00754DBD" w:rsidRDefault="00F85AF1" w:rsidP="00F85AF1">
      <w:pPr>
        <w:numPr>
          <w:ilvl w:val="0"/>
          <w:numId w:val="5"/>
        </w:numPr>
        <w:tabs>
          <w:tab w:val="left" w:pos="360"/>
        </w:tabs>
        <w:jc w:val="both"/>
        <w:rPr>
          <w:lang w:val="en-GB"/>
        </w:rPr>
      </w:pPr>
      <w:r w:rsidRPr="00754DBD">
        <w:rPr>
          <w:lang w:val="en-GB"/>
        </w:rPr>
        <w:t xml:space="preserve">The complainants state that on 16 June 1999,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were abducted, along with four other men, on the road betwee</w:t>
      </w:r>
      <w:r w:rsidR="00593D1C" w:rsidRPr="00754DBD">
        <w:rPr>
          <w:lang w:val="en-GB"/>
        </w:rPr>
        <w:t xml:space="preserve">n </w:t>
      </w:r>
      <w:proofErr w:type="spellStart"/>
      <w:r w:rsidR="00593D1C" w:rsidRPr="00754DBD">
        <w:rPr>
          <w:lang w:val="en-GB"/>
        </w:rPr>
        <w:t>Obiliq</w:t>
      </w:r>
      <w:proofErr w:type="spellEnd"/>
      <w:r w:rsidR="00593D1C" w:rsidRPr="00754DBD">
        <w:rPr>
          <w:lang w:val="en-GB"/>
        </w:rPr>
        <w:t>/</w:t>
      </w:r>
      <w:proofErr w:type="spellStart"/>
      <w:r w:rsidR="00593D1C" w:rsidRPr="00754DBD">
        <w:rPr>
          <w:lang w:val="en-GB"/>
        </w:rPr>
        <w:t>Obilić</w:t>
      </w:r>
      <w:proofErr w:type="spellEnd"/>
      <w:r w:rsidR="00593D1C" w:rsidRPr="00754DBD">
        <w:rPr>
          <w:lang w:val="en-GB"/>
        </w:rPr>
        <w:t xml:space="preserve"> town and </w:t>
      </w:r>
      <w:proofErr w:type="spellStart"/>
      <w:r w:rsidRPr="00754DBD">
        <w:rPr>
          <w:lang w:val="en-GB"/>
        </w:rPr>
        <w:t>Mazgit</w:t>
      </w:r>
      <w:proofErr w:type="spellEnd"/>
      <w:r w:rsidRPr="00754DBD">
        <w:rPr>
          <w:lang w:val="en-GB"/>
        </w:rPr>
        <w:t xml:space="preserve"> village in </w:t>
      </w:r>
      <w:proofErr w:type="spellStart"/>
      <w:r w:rsidRPr="00754DBD">
        <w:rPr>
          <w:lang w:val="en-GB"/>
        </w:rPr>
        <w:t>Obiliq</w:t>
      </w:r>
      <w:proofErr w:type="spellEnd"/>
      <w:r w:rsidRPr="00754DBD">
        <w:rPr>
          <w:lang w:val="en-GB"/>
        </w:rPr>
        <w:t>/</w:t>
      </w:r>
      <w:proofErr w:type="spellStart"/>
      <w:r w:rsidRPr="00754DBD">
        <w:rPr>
          <w:lang w:val="en-GB"/>
        </w:rPr>
        <w:t>Obilić</w:t>
      </w:r>
      <w:proofErr w:type="spellEnd"/>
      <w:r w:rsidRPr="00754DBD">
        <w:rPr>
          <w:lang w:val="en-GB"/>
        </w:rPr>
        <w:t xml:space="preserve"> municipality. On 19 June 1999, the bodies were f</w:t>
      </w:r>
      <w:r w:rsidR="00593D1C" w:rsidRPr="00754DBD">
        <w:rPr>
          <w:lang w:val="en-GB"/>
        </w:rPr>
        <w:t>ound in a drainage ditch</w:t>
      </w:r>
      <w:r w:rsidR="00754DBD" w:rsidRPr="00754DBD">
        <w:rPr>
          <w:lang w:val="en-GB"/>
        </w:rPr>
        <w:t xml:space="preserve"> in</w:t>
      </w:r>
      <w:r w:rsidR="00593D1C" w:rsidRPr="00754DBD">
        <w:rPr>
          <w:lang w:val="en-GB"/>
        </w:rPr>
        <w:t xml:space="preserve"> </w:t>
      </w:r>
      <w:proofErr w:type="spellStart"/>
      <w:r w:rsidRPr="00754DBD">
        <w:rPr>
          <w:lang w:val="en-GB"/>
        </w:rPr>
        <w:t>Mazgit</w:t>
      </w:r>
      <w:proofErr w:type="spellEnd"/>
      <w:r w:rsidRPr="00754DBD">
        <w:rPr>
          <w:lang w:val="en-GB"/>
        </w:rPr>
        <w:t xml:space="preserve"> village. KFOR</w:t>
      </w:r>
      <w:r w:rsidR="00754DBD" w:rsidRPr="00754DBD">
        <w:rPr>
          <w:lang w:val="en-GB"/>
        </w:rPr>
        <w:t xml:space="preserve"> troops</w:t>
      </w:r>
      <w:r w:rsidRPr="00754DBD">
        <w:rPr>
          <w:lang w:val="en-GB"/>
        </w:rPr>
        <w:t xml:space="preserve"> transported the mortal remains of the six bodies to the </w:t>
      </w:r>
      <w:proofErr w:type="spellStart"/>
      <w:r w:rsidRPr="00754DBD">
        <w:rPr>
          <w:lang w:val="en-GB"/>
        </w:rPr>
        <w:t>Pris</w:t>
      </w:r>
      <w:r w:rsidR="001D4D56">
        <w:rPr>
          <w:lang w:val="en-GB"/>
        </w:rPr>
        <w:t>h</w:t>
      </w:r>
      <w:r w:rsidRPr="00754DBD">
        <w:rPr>
          <w:lang w:val="en-GB"/>
        </w:rPr>
        <w:t>tinë</w:t>
      </w:r>
      <w:proofErr w:type="spellEnd"/>
      <w:r w:rsidRPr="00754DBD">
        <w:rPr>
          <w:lang w:val="en-GB"/>
        </w:rPr>
        <w:t>/</w:t>
      </w:r>
      <w:proofErr w:type="spellStart"/>
      <w:r w:rsidRPr="00754DBD">
        <w:rPr>
          <w:lang w:val="en-GB"/>
        </w:rPr>
        <w:t>Priština</w:t>
      </w:r>
      <w:proofErr w:type="spellEnd"/>
      <w:r w:rsidRPr="00754DBD">
        <w:rPr>
          <w:lang w:val="en-GB"/>
        </w:rPr>
        <w:t xml:space="preserve"> hospital morgue and the mortal remains were later buried in</w:t>
      </w:r>
      <w:r w:rsidR="00754DBD" w:rsidRPr="00754DBD">
        <w:rPr>
          <w:lang w:val="en-GB"/>
        </w:rPr>
        <w:t xml:space="preserve"> the</w:t>
      </w:r>
      <w:r w:rsidRPr="00754DBD">
        <w:rPr>
          <w:lang w:val="en-GB"/>
        </w:rPr>
        <w:t xml:space="preserve"> </w:t>
      </w:r>
      <w:r w:rsidR="00754DBD" w:rsidRPr="00754DBD">
        <w:rPr>
          <w:lang w:val="en-GB"/>
        </w:rPr>
        <w:t>“</w:t>
      </w:r>
      <w:proofErr w:type="spellStart"/>
      <w:r w:rsidRPr="00754DBD">
        <w:rPr>
          <w:lang w:val="en-GB"/>
        </w:rPr>
        <w:t>Dragodan</w:t>
      </w:r>
      <w:proofErr w:type="spellEnd"/>
      <w:r w:rsidR="00754DBD" w:rsidRPr="00754DBD">
        <w:rPr>
          <w:lang w:val="en-GB"/>
        </w:rPr>
        <w:t>”</w:t>
      </w:r>
      <w:r w:rsidRPr="00754DBD">
        <w:rPr>
          <w:lang w:val="en-GB"/>
        </w:rPr>
        <w:t xml:space="preserve"> cemetery in </w:t>
      </w:r>
      <w:proofErr w:type="spellStart"/>
      <w:r w:rsidRPr="00754DBD">
        <w:rPr>
          <w:lang w:val="en-GB"/>
        </w:rPr>
        <w:t>Pris</w:t>
      </w:r>
      <w:r w:rsidR="001D4D56">
        <w:rPr>
          <w:lang w:val="en-GB"/>
        </w:rPr>
        <w:t>h</w:t>
      </w:r>
      <w:r w:rsidRPr="00754DBD">
        <w:rPr>
          <w:lang w:val="en-GB"/>
        </w:rPr>
        <w:t>tinë</w:t>
      </w:r>
      <w:proofErr w:type="spellEnd"/>
      <w:r w:rsidRPr="00754DBD">
        <w:rPr>
          <w:lang w:val="en-GB"/>
        </w:rPr>
        <w:t>/</w:t>
      </w:r>
      <w:proofErr w:type="spellStart"/>
      <w:r w:rsidRPr="00754DBD">
        <w:rPr>
          <w:lang w:val="en-GB"/>
        </w:rPr>
        <w:t>Priština</w:t>
      </w:r>
      <w:proofErr w:type="spellEnd"/>
      <w:r w:rsidRPr="00754DBD">
        <w:rPr>
          <w:lang w:val="en-GB"/>
        </w:rPr>
        <w:t xml:space="preserve">. </w:t>
      </w:r>
    </w:p>
    <w:p w:rsidR="00F85AF1" w:rsidRPr="00754DBD" w:rsidRDefault="00F85AF1" w:rsidP="00F85AF1">
      <w:pPr>
        <w:ind w:left="360"/>
        <w:jc w:val="both"/>
        <w:rPr>
          <w:lang w:val="en-GB"/>
        </w:rPr>
      </w:pPr>
    </w:p>
    <w:p w:rsidR="00F85AF1" w:rsidRPr="00754DBD" w:rsidRDefault="00F85AF1" w:rsidP="00F85AF1">
      <w:pPr>
        <w:numPr>
          <w:ilvl w:val="0"/>
          <w:numId w:val="5"/>
        </w:numPr>
        <w:tabs>
          <w:tab w:val="left" w:pos="360"/>
        </w:tabs>
        <w:jc w:val="both"/>
        <w:rPr>
          <w:lang w:val="en-GB"/>
        </w:rPr>
      </w:pPr>
      <w:r w:rsidRPr="00754DBD">
        <w:rPr>
          <w:bCs/>
          <w:lang w:val="en-GB"/>
        </w:rPr>
        <w:t xml:space="preserve">The complainants state that the abductions were reported to UNMIK, KFOR, and the </w:t>
      </w:r>
      <w:r w:rsidR="00593D1C" w:rsidRPr="00754DBD">
        <w:rPr>
          <w:bCs/>
          <w:lang w:val="en-GB"/>
        </w:rPr>
        <w:t>ICRC</w:t>
      </w:r>
      <w:r w:rsidRPr="00754DBD">
        <w:rPr>
          <w:bCs/>
          <w:lang w:val="en-GB"/>
        </w:rPr>
        <w:t xml:space="preserve">. </w:t>
      </w:r>
    </w:p>
    <w:p w:rsidR="00F85AF1" w:rsidRPr="00754DBD" w:rsidRDefault="00F85AF1" w:rsidP="00F85AF1">
      <w:pPr>
        <w:ind w:left="360"/>
        <w:jc w:val="both"/>
        <w:rPr>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bookmarkStart w:id="6" w:name="_Ref354743973"/>
      <w:r w:rsidRPr="00754DBD">
        <w:rPr>
          <w:bCs/>
          <w:lang w:val="en-GB"/>
        </w:rPr>
        <w:t xml:space="preserve">The name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r w:rsidRPr="00754DBD">
        <w:rPr>
          <w:bCs/>
          <w:lang w:val="en-GB"/>
        </w:rPr>
        <w:t xml:space="preserve">appears in the database compiled by the UNMIK OMPF. Likewise, the ICRC opened a tracing request for </w:t>
      </w:r>
      <w:r w:rsidRPr="00754DBD">
        <w:rPr>
          <w:lang w:val="en-GB"/>
        </w:rPr>
        <w:t xml:space="preserve">him </w:t>
      </w:r>
      <w:r w:rsidRPr="00754DBD">
        <w:rPr>
          <w:bCs/>
          <w:lang w:val="en-GB"/>
        </w:rPr>
        <w:t>on 5 June 2001. The entry in the online list of missing persons maintained by the ICMP</w:t>
      </w:r>
      <w:r w:rsidRPr="00754DBD">
        <w:rPr>
          <w:rStyle w:val="FootnoteReference"/>
          <w:color w:val="464646"/>
        </w:rPr>
        <w:footnoteReference w:id="3"/>
      </w:r>
      <w:r w:rsidRPr="00754DBD">
        <w:rPr>
          <w:bCs/>
          <w:lang w:val="en-GB"/>
        </w:rPr>
        <w:t xml:space="preserve"> with regard to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r w:rsidRPr="00754DBD">
        <w:rPr>
          <w:bCs/>
          <w:lang w:val="en-GB"/>
        </w:rPr>
        <w:t>reads, in relevant parts: “sufficient reference samples collected” and “ICMP has provided information on this missing person on 04-19-2004 to authorized institution. To obtain additional information, contact EULEX Kosovo Headquarters</w:t>
      </w:r>
      <w:r w:rsidRPr="00754DBD">
        <w:rPr>
          <w:color w:val="464646"/>
        </w:rPr>
        <w:t>.”</w:t>
      </w:r>
      <w:bookmarkEnd w:id="6"/>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The name of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bCs/>
          <w:lang w:val="en-GB"/>
        </w:rPr>
        <w:t xml:space="preserve"> appears in the database compiled by the UNMIK OMPF. The ICRC published his name in its publication “Persons missing in relation to the events in Kosovo”, (3</w:t>
      </w:r>
      <w:r w:rsidRPr="00754DBD">
        <w:rPr>
          <w:bCs/>
          <w:vertAlign w:val="superscript"/>
          <w:lang w:val="en-GB"/>
        </w:rPr>
        <w:t>rd</w:t>
      </w:r>
      <w:r w:rsidRPr="00754DBD">
        <w:rPr>
          <w:bCs/>
          <w:lang w:val="en-GB"/>
        </w:rPr>
        <w:t xml:space="preserve"> edition, February 2004). The entry in the online list of missing persons maintained by the ICMP</w:t>
      </w:r>
      <w:r w:rsidRPr="00754DBD">
        <w:rPr>
          <w:rStyle w:val="FootnoteReference"/>
          <w:color w:val="464646"/>
        </w:rPr>
        <w:footnoteReference w:id="4"/>
      </w:r>
      <w:r w:rsidRPr="00754DBD">
        <w:rPr>
          <w:bCs/>
          <w:lang w:val="en-GB"/>
        </w:rPr>
        <w:t xml:space="preserve"> with regard to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bCs/>
          <w:lang w:val="en-GB"/>
        </w:rPr>
        <w:t xml:space="preserve"> reads, in relevant parts: “sufficient reference samples collected” and “ICMP has provided information on this missing person on 04-19-2004 to authorized institution. To obtain additional information, contact EULEX Kosovo Headquarters</w:t>
      </w:r>
      <w:r w:rsidRPr="00754DBD">
        <w:rPr>
          <w:color w:val="464646"/>
        </w:rPr>
        <w:t>.”</w:t>
      </w:r>
    </w:p>
    <w:p w:rsidR="000B46F6" w:rsidRPr="00754DBD" w:rsidRDefault="000B46F6" w:rsidP="00F85AF1">
      <w:pPr>
        <w:tabs>
          <w:tab w:val="left" w:pos="360"/>
        </w:tabs>
        <w:suppressAutoHyphens/>
        <w:autoSpaceDE w:val="0"/>
        <w:ind w:left="360"/>
        <w:jc w:val="both"/>
        <w:rPr>
          <w:bCs/>
          <w:lang w:val="en-GB"/>
        </w:rPr>
      </w:pPr>
    </w:p>
    <w:p w:rsidR="00F85AF1" w:rsidRPr="00754DBD" w:rsidRDefault="00F85AF1" w:rsidP="00F85AF1">
      <w:pPr>
        <w:numPr>
          <w:ilvl w:val="0"/>
          <w:numId w:val="15"/>
        </w:numPr>
        <w:tabs>
          <w:tab w:val="left" w:pos="360"/>
        </w:tabs>
        <w:contextualSpacing/>
        <w:jc w:val="both"/>
        <w:rPr>
          <w:b/>
        </w:rPr>
      </w:pPr>
      <w:r w:rsidRPr="00754DBD">
        <w:rPr>
          <w:b/>
        </w:rPr>
        <w:t>The Investigation</w:t>
      </w:r>
    </w:p>
    <w:p w:rsidR="00F85AF1" w:rsidRPr="00754DBD" w:rsidRDefault="00F85AF1" w:rsidP="00754DBD">
      <w:pPr>
        <w:contextualSpacing/>
        <w:jc w:val="both"/>
        <w:rPr>
          <w:lang w:val="en-GB"/>
        </w:rPr>
      </w:pPr>
    </w:p>
    <w:p w:rsidR="00F85AF1" w:rsidRPr="00754DBD" w:rsidRDefault="00F85AF1" w:rsidP="00F85AF1">
      <w:pPr>
        <w:pStyle w:val="Default"/>
        <w:numPr>
          <w:ilvl w:val="0"/>
          <w:numId w:val="5"/>
        </w:numPr>
        <w:tabs>
          <w:tab w:val="left" w:pos="360"/>
        </w:tabs>
        <w:suppressAutoHyphens/>
        <w:jc w:val="both"/>
        <w:rPr>
          <w:bCs/>
          <w:lang w:val="en-GB"/>
        </w:rPr>
      </w:pPr>
      <w:bookmarkStart w:id="7" w:name="_Ref347322102"/>
      <w:r w:rsidRPr="00754DBD">
        <w:rPr>
          <w:lang w:val="en-GB"/>
        </w:rPr>
        <w:t>On</w:t>
      </w:r>
      <w:bookmarkStart w:id="8" w:name="_Ref348357381"/>
      <w:r w:rsidRPr="00754DBD">
        <w:rPr>
          <w:lang w:val="en-GB"/>
        </w:rPr>
        <w:t xml:space="preserve"> 4 March 2013, </w:t>
      </w:r>
      <w:r w:rsidRPr="00754DBD">
        <w:rPr>
          <w:bCs/>
          <w:lang w:val="en-GB"/>
        </w:rPr>
        <w:t xml:space="preserve">UNMIK presented to the Panel the documents </w:t>
      </w:r>
      <w:r w:rsidRPr="00754DBD">
        <w:t>which were held previously by the OMPF and EULEX Police. On 2 May 2013, UNMIK confirmed to the Panel that all files in UNMIK’s possession have been disclosed.</w:t>
      </w:r>
      <w:bookmarkEnd w:id="8"/>
    </w:p>
    <w:p w:rsidR="00593D1C" w:rsidRPr="00754DBD" w:rsidRDefault="00593D1C" w:rsidP="00593D1C">
      <w:pPr>
        <w:pStyle w:val="Default"/>
        <w:suppressAutoHyphens/>
        <w:ind w:left="360"/>
        <w:jc w:val="both"/>
        <w:rPr>
          <w:bCs/>
          <w:lang w:val="en-GB"/>
        </w:rPr>
      </w:pPr>
    </w:p>
    <w:p w:rsidR="00593D1C" w:rsidRPr="00754DBD" w:rsidRDefault="00593D1C" w:rsidP="00593D1C">
      <w:pPr>
        <w:widowControl w:val="0"/>
        <w:numPr>
          <w:ilvl w:val="0"/>
          <w:numId w:val="5"/>
        </w:numPr>
        <w:tabs>
          <w:tab w:val="left" w:pos="360"/>
          <w:tab w:val="num" w:pos="630"/>
          <w:tab w:val="left" w:pos="1080"/>
        </w:tabs>
        <w:suppressAutoHyphens/>
        <w:jc w:val="both"/>
        <w:rPr>
          <w:bCs/>
          <w:lang w:val="en-GB"/>
        </w:rPr>
      </w:pPr>
      <w:r w:rsidRPr="00754DBD">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bookmarkEnd w:id="7"/>
    <w:p w:rsidR="00F85AF1" w:rsidRPr="00754DBD" w:rsidRDefault="00F85AF1" w:rsidP="00595F44">
      <w:pPr>
        <w:widowControl w:val="0"/>
        <w:tabs>
          <w:tab w:val="left" w:pos="360"/>
          <w:tab w:val="left" w:pos="1080"/>
        </w:tabs>
        <w:suppressAutoHyphens/>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According to the information provided by UNMIK, </w:t>
      </w:r>
      <w:r w:rsidR="00915A75" w:rsidRPr="00754DBD">
        <w:rPr>
          <w:bCs/>
          <w:lang w:val="en-GB"/>
        </w:rPr>
        <w:t xml:space="preserve">family members identified </w:t>
      </w:r>
      <w:r w:rsidRPr="00754DBD">
        <w:rPr>
          <w:bCs/>
          <w:lang w:val="en-GB"/>
        </w:rPr>
        <w:t xml:space="preserve">the </w:t>
      </w:r>
      <w:r w:rsidR="00915A75" w:rsidRPr="00754DBD">
        <w:rPr>
          <w:bCs/>
          <w:lang w:val="en-GB"/>
        </w:rPr>
        <w:t>bodies</w:t>
      </w:r>
      <w:r w:rsidRPr="00754DBD">
        <w:rPr>
          <w:bCs/>
          <w:lang w:val="en-GB"/>
        </w:rPr>
        <w:t xml:space="preserve">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00915A75" w:rsidRPr="00754DBD">
        <w:rPr>
          <w:lang w:val="en-GB"/>
        </w:rPr>
        <w:t xml:space="preserve"> after British KFOR personnel presented them with photographs of the victims;</w:t>
      </w:r>
      <w:r w:rsidRPr="00754DBD">
        <w:rPr>
          <w:lang w:val="en-GB"/>
        </w:rPr>
        <w:t xml:space="preserve"> </w:t>
      </w:r>
      <w:r w:rsidR="00915A75" w:rsidRPr="00754DBD">
        <w:rPr>
          <w:lang w:val="en-GB"/>
        </w:rPr>
        <w:t>the mortal remains</w:t>
      </w:r>
      <w:r w:rsidRPr="00754DBD">
        <w:rPr>
          <w:lang w:val="en-GB"/>
        </w:rPr>
        <w:t xml:space="preserve"> were scheduled to be released to the family on 29 June 1999 for burial. However, the complainants </w:t>
      </w:r>
      <w:r w:rsidR="00915A75" w:rsidRPr="00754DBD">
        <w:rPr>
          <w:lang w:val="en-GB"/>
        </w:rPr>
        <w:t>did not</w:t>
      </w:r>
      <w:r w:rsidRPr="00754DBD">
        <w:rPr>
          <w:lang w:val="en-GB"/>
        </w:rPr>
        <w:t xml:space="preserve"> receive the</w:t>
      </w:r>
      <w:r w:rsidR="00915A75" w:rsidRPr="00754DBD">
        <w:rPr>
          <w:lang w:val="en-GB"/>
        </w:rPr>
        <w:t xml:space="preserve"> mortal</w:t>
      </w:r>
      <w:r w:rsidRPr="00754DBD">
        <w:rPr>
          <w:lang w:val="en-GB"/>
        </w:rPr>
        <w:t xml:space="preserve"> remains at that time.</w:t>
      </w:r>
      <w:r w:rsidR="00593D1C" w:rsidRPr="00754DBD">
        <w:rPr>
          <w:lang w:val="en-GB"/>
        </w:rPr>
        <w:t xml:space="preserve"> It appears that KFOR unofficially</w:t>
      </w:r>
      <w:r w:rsidRPr="00754DBD">
        <w:rPr>
          <w:lang w:val="en-GB"/>
        </w:rPr>
        <w:t xml:space="preserve"> informed the complainants that the mortal remains</w:t>
      </w:r>
      <w:r w:rsidR="00754DBD" w:rsidRPr="00754DBD">
        <w:rPr>
          <w:lang w:val="en-GB"/>
        </w:rPr>
        <w:t xml:space="preserve"> had been</w:t>
      </w:r>
      <w:r w:rsidRPr="00754DBD">
        <w:rPr>
          <w:lang w:val="en-GB"/>
        </w:rPr>
        <w:t xml:space="preserve"> buried in </w:t>
      </w:r>
      <w:r w:rsidR="00BA7414">
        <w:rPr>
          <w:lang w:val="en-GB"/>
        </w:rPr>
        <w:t>“</w:t>
      </w:r>
      <w:proofErr w:type="spellStart"/>
      <w:r w:rsidRPr="00754DBD">
        <w:rPr>
          <w:lang w:val="en-GB"/>
        </w:rPr>
        <w:t>Dragodan</w:t>
      </w:r>
      <w:proofErr w:type="spellEnd"/>
      <w:r w:rsidR="00BA7414">
        <w:rPr>
          <w:lang w:val="en-GB"/>
        </w:rPr>
        <w:t>”</w:t>
      </w:r>
      <w:r w:rsidRPr="00754DBD">
        <w:rPr>
          <w:lang w:val="en-GB"/>
        </w:rPr>
        <w:t xml:space="preserve"> cemetery in </w:t>
      </w:r>
      <w:proofErr w:type="spellStart"/>
      <w:r w:rsidRPr="00754DBD">
        <w:rPr>
          <w:lang w:val="en-GB"/>
        </w:rPr>
        <w:t>Pris</w:t>
      </w:r>
      <w:r w:rsidR="001D4D56">
        <w:rPr>
          <w:lang w:val="en-GB"/>
        </w:rPr>
        <w:t>h</w:t>
      </w:r>
      <w:r w:rsidRPr="00754DBD">
        <w:rPr>
          <w:lang w:val="en-GB"/>
        </w:rPr>
        <w:t>tinë</w:t>
      </w:r>
      <w:proofErr w:type="spellEnd"/>
      <w:r w:rsidRPr="00754DBD">
        <w:rPr>
          <w:lang w:val="en-GB"/>
        </w:rPr>
        <w:t>/</w:t>
      </w:r>
      <w:proofErr w:type="spellStart"/>
      <w:r w:rsidRPr="00754DBD">
        <w:rPr>
          <w:lang w:val="en-GB"/>
        </w:rPr>
        <w:t>Priština</w:t>
      </w:r>
      <w:proofErr w:type="spellEnd"/>
      <w:r w:rsidRPr="00754DBD">
        <w:rPr>
          <w:lang w:val="en-GB"/>
        </w:rPr>
        <w:t>, but</w:t>
      </w:r>
      <w:r w:rsidR="00754DBD" w:rsidRPr="00754DBD">
        <w:rPr>
          <w:lang w:val="en-GB"/>
        </w:rPr>
        <w:t xml:space="preserve"> that</w:t>
      </w:r>
      <w:r w:rsidRPr="00754DBD">
        <w:rPr>
          <w:lang w:val="en-GB"/>
        </w:rPr>
        <w:t xml:space="preserve"> thereafter KFOR </w:t>
      </w:r>
      <w:r w:rsidR="00915A75" w:rsidRPr="00754DBD">
        <w:rPr>
          <w:lang w:val="en-GB"/>
        </w:rPr>
        <w:t>neither</w:t>
      </w:r>
      <w:r w:rsidRPr="00754DBD">
        <w:rPr>
          <w:lang w:val="en-GB"/>
        </w:rPr>
        <w:t xml:space="preserve"> contact</w:t>
      </w:r>
      <w:r w:rsidR="00915A75" w:rsidRPr="00754DBD">
        <w:rPr>
          <w:lang w:val="en-GB"/>
        </w:rPr>
        <w:t>ed</w:t>
      </w:r>
      <w:r w:rsidRPr="00754DBD">
        <w:rPr>
          <w:lang w:val="en-GB"/>
        </w:rPr>
        <w:t xml:space="preserve"> the complainants to confirm the specific location of the</w:t>
      </w:r>
      <w:r w:rsidR="00915A75" w:rsidRPr="00754DBD">
        <w:rPr>
          <w:lang w:val="en-GB"/>
        </w:rPr>
        <w:t xml:space="preserve"> mortal</w:t>
      </w:r>
      <w:r w:rsidRPr="00754DBD">
        <w:rPr>
          <w:lang w:val="en-GB"/>
        </w:rPr>
        <w:t xml:space="preserve"> remains, nor </w:t>
      </w:r>
      <w:r w:rsidR="00915A75" w:rsidRPr="00754DBD">
        <w:rPr>
          <w:lang w:val="en-GB"/>
        </w:rPr>
        <w:t>made</w:t>
      </w:r>
      <w:r w:rsidRPr="00754DBD">
        <w:rPr>
          <w:lang w:val="en-GB"/>
        </w:rPr>
        <w:t xml:space="preserve"> further arrangements for the</w:t>
      </w:r>
      <w:r w:rsidR="00915A75" w:rsidRPr="00754DBD">
        <w:rPr>
          <w:lang w:val="en-GB"/>
        </w:rPr>
        <w:t>ir</w:t>
      </w:r>
      <w:r w:rsidRPr="00754DBD">
        <w:rPr>
          <w:lang w:val="en-GB"/>
        </w:rPr>
        <w:t xml:space="preserve"> transport and handover. </w:t>
      </w:r>
    </w:p>
    <w:p w:rsidR="00F85AF1" w:rsidRPr="00754DBD" w:rsidRDefault="00F85AF1" w:rsidP="00F85AF1">
      <w:pPr>
        <w:widowControl w:val="0"/>
        <w:tabs>
          <w:tab w:val="left" w:pos="1080"/>
        </w:tabs>
        <w:suppressAutoHyphens/>
        <w:ind w:left="360"/>
        <w:jc w:val="both"/>
        <w:rPr>
          <w:bCs/>
          <w:lang w:val="en-GB"/>
        </w:rPr>
      </w:pPr>
    </w:p>
    <w:p w:rsidR="00F85AF1" w:rsidRPr="00754DBD" w:rsidRDefault="00754DBD" w:rsidP="00F85AF1">
      <w:pPr>
        <w:widowControl w:val="0"/>
        <w:numPr>
          <w:ilvl w:val="0"/>
          <w:numId w:val="5"/>
        </w:numPr>
        <w:tabs>
          <w:tab w:val="left" w:pos="360"/>
          <w:tab w:val="num" w:pos="630"/>
          <w:tab w:val="left" w:pos="1080"/>
        </w:tabs>
        <w:suppressAutoHyphens/>
        <w:jc w:val="both"/>
        <w:rPr>
          <w:bCs/>
          <w:lang w:val="en-GB"/>
        </w:rPr>
      </w:pPr>
      <w:bookmarkStart w:id="9" w:name="_Ref358376223"/>
      <w:r w:rsidRPr="00754DBD">
        <w:rPr>
          <w:lang w:val="en-GB"/>
        </w:rPr>
        <w:t xml:space="preserve">The </w:t>
      </w:r>
      <w:r w:rsidR="00F85AF1" w:rsidRPr="00754DBD">
        <w:rPr>
          <w:bCs/>
          <w:lang w:val="en-GB"/>
        </w:rPr>
        <w:t>CCIU opened an investigation in 1999, upon receiving the case from British KFOR, and established a</w:t>
      </w:r>
      <w:r w:rsidRPr="00754DBD">
        <w:rPr>
          <w:bCs/>
          <w:lang w:val="en-GB"/>
        </w:rPr>
        <w:t>n initial list of witnesses who</w:t>
      </w:r>
      <w:r w:rsidR="00F85AF1" w:rsidRPr="00754DBD">
        <w:rPr>
          <w:bCs/>
          <w:lang w:val="en-GB"/>
        </w:rPr>
        <w:t xml:space="preserve"> it was interested in questioning. </w:t>
      </w:r>
      <w:r w:rsidR="00F85AF1" w:rsidRPr="00754DBD">
        <w:rPr>
          <w:lang w:val="en-GB"/>
        </w:rPr>
        <w:t xml:space="preserve">According to a CCIU document dated 1 October 1999, </w:t>
      </w:r>
      <w:r w:rsidRPr="00754DBD">
        <w:rPr>
          <w:lang w:val="en-GB"/>
        </w:rPr>
        <w:t xml:space="preserve">the </w:t>
      </w:r>
      <w:r w:rsidR="00F85AF1" w:rsidRPr="00754DBD">
        <w:rPr>
          <w:lang w:val="en-GB"/>
        </w:rPr>
        <w:t>CCIU recommended that the investigation locate the family members who</w:t>
      </w:r>
      <w:r w:rsidRPr="00754DBD">
        <w:rPr>
          <w:lang w:val="en-GB"/>
        </w:rPr>
        <w:t xml:space="preserve"> had</w:t>
      </w:r>
      <w:r w:rsidR="00F85AF1" w:rsidRPr="00754DBD">
        <w:rPr>
          <w:lang w:val="en-GB"/>
        </w:rPr>
        <w:t xml:space="preserve"> identified the bodies, as well as the two persons who</w:t>
      </w:r>
      <w:r w:rsidRPr="00754DBD">
        <w:rPr>
          <w:lang w:val="en-GB"/>
        </w:rPr>
        <w:t xml:space="preserve"> had</w:t>
      </w:r>
      <w:r w:rsidR="00F85AF1" w:rsidRPr="00754DBD">
        <w:rPr>
          <w:lang w:val="en-GB"/>
        </w:rPr>
        <w:t xml:space="preserve"> found the bodies. It is not clear from the documents in the file whether this investigative strategy was pursued at that time. On 4 October 1999, CCIU recommended that “the case be placed on inactive until further information is obtained.” </w:t>
      </w:r>
      <w:r w:rsidR="00593D1C" w:rsidRPr="00754DBD">
        <w:rPr>
          <w:lang w:val="en-GB"/>
        </w:rPr>
        <w:t>A handwritten note written in the file</w:t>
      </w:r>
      <w:r>
        <w:rPr>
          <w:lang w:val="en-GB"/>
        </w:rPr>
        <w:t xml:space="preserve"> stated that</w:t>
      </w:r>
      <w:r w:rsidR="00593D1C" w:rsidRPr="00754DBD">
        <w:rPr>
          <w:lang w:val="en-GB"/>
        </w:rPr>
        <w:t xml:space="preserve"> </w:t>
      </w:r>
      <w:r>
        <w:rPr>
          <w:lang w:val="en-GB"/>
        </w:rPr>
        <w:t>o</w:t>
      </w:r>
      <w:r w:rsidR="00F85AF1" w:rsidRPr="00754DBD">
        <w:rPr>
          <w:lang w:val="en-GB"/>
        </w:rPr>
        <w:t>n 1 November 1999</w:t>
      </w:r>
      <w:r w:rsidR="00593D1C" w:rsidRPr="00754DBD">
        <w:rPr>
          <w:lang w:val="en-GB"/>
        </w:rPr>
        <w:t>, the case was apparently</w:t>
      </w:r>
      <w:r>
        <w:rPr>
          <w:lang w:val="en-GB"/>
        </w:rPr>
        <w:t xml:space="preserve"> closed</w:t>
      </w:r>
      <w:r w:rsidR="00F85AF1" w:rsidRPr="00754DBD">
        <w:rPr>
          <w:lang w:val="en-GB"/>
        </w:rPr>
        <w:t>.</w:t>
      </w:r>
      <w:bookmarkEnd w:id="9"/>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 On 13 July 2000, 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r w:rsidRPr="00754DBD">
        <w:rPr>
          <w:bCs/>
          <w:lang w:val="en-GB"/>
        </w:rPr>
        <w:t xml:space="preserve">were autopsied by </w:t>
      </w:r>
      <w:r w:rsidRPr="00754DBD">
        <w:t>personnel from the International Criminal Tribunal for the former Yugoslavia (ICTY)</w:t>
      </w:r>
      <w:r w:rsidRPr="00754DBD">
        <w:rPr>
          <w:bCs/>
          <w:lang w:val="en-GB"/>
        </w:rPr>
        <w:t xml:space="preserve"> and then numbered and reburied in an unmarked grave in</w:t>
      </w:r>
      <w:r w:rsidR="00754DBD" w:rsidRPr="00754DBD">
        <w:rPr>
          <w:bCs/>
          <w:lang w:val="en-GB"/>
        </w:rPr>
        <w:t xml:space="preserve"> the</w:t>
      </w:r>
      <w:r w:rsidRPr="00754DBD">
        <w:rPr>
          <w:bCs/>
          <w:lang w:val="en-GB"/>
        </w:rPr>
        <w:t xml:space="preserve"> </w:t>
      </w:r>
      <w:r w:rsidR="00754DBD" w:rsidRPr="00754DBD">
        <w:rPr>
          <w:bCs/>
          <w:lang w:val="en-GB"/>
        </w:rPr>
        <w:t>“</w:t>
      </w:r>
      <w:proofErr w:type="spellStart"/>
      <w:r w:rsidRPr="00754DBD">
        <w:rPr>
          <w:lang w:val="en-GB"/>
        </w:rPr>
        <w:t>Dragodan</w:t>
      </w:r>
      <w:proofErr w:type="spellEnd"/>
      <w:r w:rsidR="00754DBD" w:rsidRPr="00754DBD">
        <w:rPr>
          <w:lang w:val="en-GB"/>
        </w:rPr>
        <w:t>”</w:t>
      </w:r>
      <w:r w:rsidRPr="00754DBD">
        <w:rPr>
          <w:lang w:val="en-GB"/>
        </w:rPr>
        <w:t xml:space="preserve"> cemetery in </w:t>
      </w:r>
      <w:proofErr w:type="spellStart"/>
      <w:r w:rsidRPr="00754DBD">
        <w:rPr>
          <w:lang w:val="en-GB"/>
        </w:rPr>
        <w:t>Pris</w:t>
      </w:r>
      <w:r w:rsidR="001D4D56">
        <w:rPr>
          <w:lang w:val="en-GB"/>
        </w:rPr>
        <w:t>h</w:t>
      </w:r>
      <w:r w:rsidRPr="00754DBD">
        <w:rPr>
          <w:lang w:val="en-GB"/>
        </w:rPr>
        <w:t>tinë</w:t>
      </w:r>
      <w:proofErr w:type="spellEnd"/>
      <w:r w:rsidRPr="00754DBD">
        <w:rPr>
          <w:lang w:val="en-GB"/>
        </w:rPr>
        <w:t>/</w:t>
      </w:r>
      <w:proofErr w:type="spellStart"/>
      <w:r w:rsidRPr="00754DBD">
        <w:rPr>
          <w:lang w:val="en-GB"/>
        </w:rPr>
        <w:t>Priština</w:t>
      </w:r>
      <w:proofErr w:type="spellEnd"/>
      <w:r w:rsidRPr="00754DBD">
        <w:rPr>
          <w:lang w:val="en-GB"/>
        </w:rPr>
        <w:t xml:space="preserve">. According to the documents provided by UNMIK, in 2000 the MPU also opened an investigation regarding both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In 200</w:t>
      </w:r>
      <w:r w:rsidR="00595F44" w:rsidRPr="00754DBD">
        <w:rPr>
          <w:lang w:val="en-GB"/>
        </w:rPr>
        <w:t>2,</w:t>
      </w:r>
      <w:r w:rsidR="00754DBD" w:rsidRPr="00754DBD">
        <w:rPr>
          <w:lang w:val="en-GB"/>
        </w:rPr>
        <w:t xml:space="preserve"> the</w:t>
      </w:r>
      <w:r w:rsidR="00595F44" w:rsidRPr="00754DBD">
        <w:rPr>
          <w:lang w:val="en-GB"/>
        </w:rPr>
        <w:t xml:space="preserve"> WCIU </w:t>
      </w:r>
      <w:r w:rsidR="00754DBD" w:rsidRPr="00754DBD">
        <w:rPr>
          <w:lang w:val="en-GB"/>
        </w:rPr>
        <w:t>took further</w:t>
      </w:r>
      <w:r w:rsidR="00595F44" w:rsidRPr="00754DBD">
        <w:rPr>
          <w:lang w:val="en-GB"/>
        </w:rPr>
        <w:t xml:space="preserve"> investigative steps</w:t>
      </w:r>
      <w:r w:rsidRPr="00754DBD">
        <w:rPr>
          <w:lang w:val="en-GB"/>
        </w:rPr>
        <w:t xml:space="preserve">, including filing an initial report, taking a witness statement from Mr </w:t>
      </w:r>
      <w:proofErr w:type="spellStart"/>
      <w:r w:rsidRPr="00754DBD">
        <w:rPr>
          <w:lang w:val="en-GB"/>
        </w:rPr>
        <w:t>Momčilo</w:t>
      </w:r>
      <w:proofErr w:type="spellEnd"/>
      <w:r w:rsidRPr="00754DBD">
        <w:rPr>
          <w:lang w:val="en-GB"/>
        </w:rPr>
        <w:t xml:space="preserve"> </w:t>
      </w:r>
      <w:proofErr w:type="spellStart"/>
      <w:r w:rsidRPr="00754DBD">
        <w:rPr>
          <w:lang w:val="en-GB"/>
        </w:rPr>
        <w:t>Milenković</w:t>
      </w:r>
      <w:proofErr w:type="spellEnd"/>
      <w:r w:rsidRPr="00754DBD">
        <w:rPr>
          <w:lang w:val="en-GB"/>
        </w:rPr>
        <w:t>, examining the area where</w:t>
      </w:r>
      <w:r w:rsidR="00915A75" w:rsidRPr="00754DBD">
        <w:rPr>
          <w:lang w:val="en-GB"/>
        </w:rPr>
        <w:t xml:space="preserve"> the bodies were found, </w:t>
      </w:r>
      <w:r w:rsidR="00754DBD" w:rsidRPr="00754DBD">
        <w:rPr>
          <w:lang w:val="en-GB"/>
        </w:rPr>
        <w:t>carrying out</w:t>
      </w:r>
      <w:r w:rsidRPr="00754DBD">
        <w:rPr>
          <w:lang w:val="en-GB"/>
        </w:rPr>
        <w:t xml:space="preserve"> canvass interview</w:t>
      </w:r>
      <w:r w:rsidR="00754DBD" w:rsidRPr="00754DBD">
        <w:rPr>
          <w:lang w:val="en-GB"/>
        </w:rPr>
        <w:t>s</w:t>
      </w:r>
      <w:r w:rsidRPr="00754DBD">
        <w:rPr>
          <w:lang w:val="en-GB"/>
        </w:rPr>
        <w:t xml:space="preserve"> to locate persons who could remember the incident and requesting KFOR to release a video tape that British KFOR personnel had allegedly made documenting the crime scene in June 1999. </w:t>
      </w:r>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According to the documents provided by UNMIK, on 3 December 2002, a WCIU investigator requested assistance from UNMIK in facilitating the investigator’s travel to Serbia to take statements from the complainants. However, from the documents presented, it is not known if this</w:t>
      </w:r>
      <w:r w:rsidR="00915A75" w:rsidRPr="00754DBD">
        <w:rPr>
          <w:lang w:val="en-GB"/>
        </w:rPr>
        <w:t xml:space="preserve"> deposition</w:t>
      </w:r>
      <w:r w:rsidRPr="00754DBD">
        <w:rPr>
          <w:lang w:val="en-GB"/>
        </w:rPr>
        <w:t xml:space="preserve"> ever occurred.  </w:t>
      </w:r>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From the record provided by UNMIK, it appears that on 27 March 2003</w:t>
      </w:r>
      <w:r w:rsidR="00915A75" w:rsidRPr="00754DBD">
        <w:rPr>
          <w:lang w:val="en-GB"/>
        </w:rPr>
        <w:t>,</w:t>
      </w:r>
      <w:r w:rsidRPr="00754DBD">
        <w:rPr>
          <w:lang w:val="en-GB"/>
        </w:rPr>
        <w:t xml:space="preserve"> a </w:t>
      </w:r>
      <w:r w:rsidR="00915A75" w:rsidRPr="00754DBD">
        <w:rPr>
          <w:lang w:val="en-GB"/>
        </w:rPr>
        <w:t>WCIU</w:t>
      </w:r>
      <w:r w:rsidRPr="00754DBD">
        <w:rPr>
          <w:lang w:val="en-GB"/>
        </w:rPr>
        <w:t xml:space="preserve"> investigator requested further information from the MPU on where 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had been buried. </w:t>
      </w:r>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 xml:space="preserve"> </w:t>
      </w:r>
      <w:r w:rsidRPr="00754DBD">
        <w:rPr>
          <w:bCs/>
          <w:lang w:val="en-GB"/>
        </w:rPr>
        <w:t>According to information provided by UNMIK, on 19 March 2004, based on a g</w:t>
      </w:r>
      <w:r w:rsidR="00593D1C" w:rsidRPr="00754DBD">
        <w:rPr>
          <w:bCs/>
          <w:lang w:val="en-GB"/>
        </w:rPr>
        <w:t>eneral review of the DNA analyse</w:t>
      </w:r>
      <w:r w:rsidRPr="00754DBD">
        <w:rPr>
          <w:bCs/>
          <w:lang w:val="en-GB"/>
        </w:rPr>
        <w:t xml:space="preserve">s conducted by the ICMP, the ICMP confirmed the identities of the mortal remains as those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p>
    <w:p w:rsidR="00F85AF1" w:rsidRPr="00754DBD" w:rsidRDefault="00F85AF1" w:rsidP="00F85AF1">
      <w:pPr>
        <w:widowControl w:val="0"/>
        <w:tabs>
          <w:tab w:val="left" w:pos="360"/>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 xml:space="preserve">On 13 May 2004, </w:t>
      </w:r>
      <w:r w:rsidRPr="00754DBD">
        <w:rPr>
          <w:bCs/>
          <w:lang w:val="en-GB"/>
        </w:rPr>
        <w:t xml:space="preserve">the Office of the Medical Examiner of the DOJ issued death certificates for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The death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was</w:t>
      </w:r>
      <w:r w:rsidR="00754DBD" w:rsidRPr="00754DBD">
        <w:rPr>
          <w:lang w:val="en-GB"/>
        </w:rPr>
        <w:t xml:space="preserve"> stated as</w:t>
      </w:r>
      <w:r w:rsidRPr="00754DBD">
        <w:rPr>
          <w:lang w:val="en-GB"/>
        </w:rPr>
        <w:t xml:space="preserve"> caused by “gunshot wounds to the head and chest”. The death of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was</w:t>
      </w:r>
      <w:r w:rsidR="00754DBD" w:rsidRPr="00754DBD">
        <w:rPr>
          <w:lang w:val="en-GB"/>
        </w:rPr>
        <w:t xml:space="preserve"> stated as</w:t>
      </w:r>
      <w:r w:rsidRPr="00754DBD">
        <w:rPr>
          <w:lang w:val="en-GB"/>
        </w:rPr>
        <w:t xml:space="preserve"> caused by “two gunshot wounds to the head.”</w:t>
      </w:r>
    </w:p>
    <w:p w:rsidR="00F85AF1" w:rsidRPr="00754DBD" w:rsidRDefault="00F85AF1" w:rsidP="00F85AF1">
      <w:pPr>
        <w:widowControl w:val="0"/>
        <w:tabs>
          <w:tab w:val="left" w:pos="1080"/>
        </w:tabs>
        <w:suppressAutoHyphens/>
        <w:ind w:left="360"/>
        <w:jc w:val="both"/>
        <w:rPr>
          <w:bCs/>
          <w:lang w:val="en-GB"/>
        </w:rPr>
      </w:pPr>
    </w:p>
    <w:p w:rsidR="00754DBD" w:rsidRDefault="00F85AF1" w:rsidP="00754DBD">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On 17 May 2004, MPU re-exhumed 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on 26 June 2004 </w:t>
      </w:r>
      <w:r w:rsidRPr="00754DBD">
        <w:rPr>
          <w:bCs/>
          <w:lang w:val="en-GB"/>
        </w:rPr>
        <w:t xml:space="preserve">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bCs/>
          <w:lang w:val="en-GB"/>
        </w:rPr>
        <w:t xml:space="preserve"> were returned to the complainants. </w:t>
      </w:r>
      <w:bookmarkStart w:id="10" w:name="_Ref357004533"/>
    </w:p>
    <w:p w:rsidR="00754DBD" w:rsidRDefault="00754DBD" w:rsidP="00754DBD">
      <w:pPr>
        <w:widowControl w:val="0"/>
        <w:tabs>
          <w:tab w:val="left" w:pos="1080"/>
        </w:tabs>
        <w:suppressAutoHyphens/>
        <w:ind w:left="360"/>
        <w:jc w:val="both"/>
        <w:rPr>
          <w:bCs/>
          <w:lang w:val="en-GB"/>
        </w:rPr>
      </w:pPr>
    </w:p>
    <w:p w:rsidR="00191948" w:rsidRPr="00754DBD" w:rsidRDefault="00F85AF1" w:rsidP="00754DBD">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No further </w:t>
      </w:r>
      <w:r w:rsidRPr="00754DBD">
        <w:rPr>
          <w:lang w:val="en-GB"/>
        </w:rPr>
        <w:t>investigative</w:t>
      </w:r>
      <w:r w:rsidRPr="00754DBD">
        <w:rPr>
          <w:bCs/>
          <w:lang w:val="en-GB"/>
        </w:rPr>
        <w:t xml:space="preserve"> material was presented to the Panel by UNMIK, except for case registration numbers and documents indicating that</w:t>
      </w:r>
      <w:r w:rsidR="00754DBD" w:rsidRPr="00754DBD">
        <w:rPr>
          <w:bCs/>
          <w:lang w:val="en-GB"/>
        </w:rPr>
        <w:t>,</w:t>
      </w:r>
      <w:r w:rsidRPr="00754DBD">
        <w:rPr>
          <w:bCs/>
          <w:lang w:val="en-GB"/>
        </w:rPr>
        <w:t xml:space="preserve"> at least through 2004, UNMIK had carried out a criminal investigation. Additionally, UNMIK submitted one</w:t>
      </w:r>
      <w:r w:rsidR="00593D1C" w:rsidRPr="00754DBD">
        <w:rPr>
          <w:bCs/>
          <w:lang w:val="en-GB"/>
        </w:rPr>
        <w:t xml:space="preserve"> further</w:t>
      </w:r>
      <w:r w:rsidRPr="00754DBD">
        <w:rPr>
          <w:bCs/>
          <w:lang w:val="en-GB"/>
        </w:rPr>
        <w:t xml:space="preserve"> document dated 23 August 2007, </w:t>
      </w:r>
      <w:r w:rsidR="00593D1C" w:rsidRPr="00754DBD">
        <w:rPr>
          <w:bCs/>
          <w:lang w:val="en-GB"/>
        </w:rPr>
        <w:t xml:space="preserve">which was </w:t>
      </w:r>
      <w:r w:rsidR="00595F44" w:rsidRPr="00754DBD">
        <w:rPr>
          <w:bCs/>
          <w:lang w:val="en-GB"/>
        </w:rPr>
        <w:t>labelled</w:t>
      </w:r>
      <w:r w:rsidR="00593D1C" w:rsidRPr="00754DBD">
        <w:rPr>
          <w:bCs/>
          <w:lang w:val="en-GB"/>
        </w:rPr>
        <w:t xml:space="preserve"> “confidential”</w:t>
      </w:r>
      <w:bookmarkEnd w:id="10"/>
      <w:r w:rsidR="00595F44" w:rsidRPr="00754DBD">
        <w:rPr>
          <w:bCs/>
          <w:lang w:val="en-GB"/>
        </w:rPr>
        <w:t>.</w:t>
      </w:r>
    </w:p>
    <w:p w:rsidR="00595F44" w:rsidRDefault="00595F44" w:rsidP="00595F44">
      <w:pPr>
        <w:pStyle w:val="ListParagraph"/>
        <w:rPr>
          <w:lang w:val="en-GB"/>
        </w:rPr>
      </w:pPr>
    </w:p>
    <w:p w:rsidR="00595F44" w:rsidRPr="00595F44" w:rsidRDefault="00595F44" w:rsidP="00595F44">
      <w:pPr>
        <w:widowControl w:val="0"/>
        <w:tabs>
          <w:tab w:val="left" w:pos="360"/>
          <w:tab w:val="left" w:pos="1080"/>
        </w:tabs>
        <w:suppressAutoHyphens/>
        <w:ind w:left="360"/>
        <w:jc w:val="both"/>
        <w:rPr>
          <w:lang w:val="en-GB"/>
        </w:rPr>
      </w:pPr>
    </w:p>
    <w:p w:rsidR="000B5C31" w:rsidRPr="00A5537A" w:rsidRDefault="000B5C31" w:rsidP="00EC64DD">
      <w:pPr>
        <w:numPr>
          <w:ilvl w:val="0"/>
          <w:numId w:val="2"/>
        </w:numPr>
        <w:tabs>
          <w:tab w:val="left" w:pos="360"/>
        </w:tabs>
        <w:suppressAutoHyphens/>
        <w:autoSpaceDE w:val="0"/>
        <w:ind w:left="360" w:hanging="360"/>
        <w:jc w:val="both"/>
        <w:rPr>
          <w:b/>
          <w:bCs/>
          <w:lang w:val="en-GB"/>
        </w:rPr>
      </w:pPr>
      <w:r w:rsidRPr="00A5537A">
        <w:rPr>
          <w:b/>
          <w:bCs/>
          <w:lang w:val="en-GB"/>
        </w:rPr>
        <w:t>THE COMPLAINT</w:t>
      </w:r>
    </w:p>
    <w:p w:rsidR="000B5C31" w:rsidRPr="00A5537A" w:rsidRDefault="000B5C31" w:rsidP="00EC64DD">
      <w:pPr>
        <w:pStyle w:val="ListParagraph"/>
        <w:tabs>
          <w:tab w:val="left" w:pos="360"/>
        </w:tabs>
        <w:ind w:left="360" w:hanging="360"/>
        <w:rPr>
          <w:lang w:val="en-GB"/>
        </w:rPr>
      </w:pPr>
    </w:p>
    <w:p w:rsidR="005B71F4" w:rsidRPr="00A5537A" w:rsidRDefault="008D136A" w:rsidP="00EC64DD">
      <w:pPr>
        <w:widowControl w:val="0"/>
        <w:numPr>
          <w:ilvl w:val="0"/>
          <w:numId w:val="5"/>
        </w:numPr>
        <w:tabs>
          <w:tab w:val="left" w:pos="360"/>
          <w:tab w:val="left" w:pos="1080"/>
        </w:tabs>
        <w:suppressAutoHyphens/>
        <w:jc w:val="both"/>
        <w:rPr>
          <w:lang w:val="en-GB"/>
        </w:rPr>
      </w:pPr>
      <w:bookmarkStart w:id="11" w:name="_Ref341712435"/>
      <w:r w:rsidRPr="00A5537A">
        <w:rPr>
          <w:lang w:val="en-GB"/>
        </w:rPr>
        <w:t>The complainant</w:t>
      </w:r>
      <w:r w:rsidR="00F85AF1">
        <w:rPr>
          <w:lang w:val="en-GB"/>
        </w:rPr>
        <w:t>s</w:t>
      </w:r>
      <w:r w:rsidRPr="00A5537A">
        <w:rPr>
          <w:lang w:val="en-GB"/>
        </w:rPr>
        <w:t xml:space="preserve"> c</w:t>
      </w:r>
      <w:r w:rsidR="00F85AF1">
        <w:rPr>
          <w:lang w:val="en-GB"/>
        </w:rPr>
        <w:t>omplain</w:t>
      </w:r>
      <w:r w:rsidRPr="00A5537A">
        <w:rPr>
          <w:lang w:val="en-GB"/>
        </w:rPr>
        <w:t xml:space="preserve"> about UNMIK’s alleged failure to pr</w:t>
      </w:r>
      <w:r w:rsidR="00370EF9" w:rsidRPr="00A5537A">
        <w:rPr>
          <w:lang w:val="en-GB"/>
        </w:rPr>
        <w:t xml:space="preserve">operly investigate the </w:t>
      </w:r>
      <w:r w:rsidR="00F85AF1" w:rsidRPr="00754DBD">
        <w:rPr>
          <w:lang w:val="en-GB"/>
        </w:rPr>
        <w:t>abduction and killing</w:t>
      </w:r>
      <w:r w:rsidRPr="00754DBD">
        <w:rPr>
          <w:lang w:val="en-GB"/>
        </w:rPr>
        <w:t xml:space="preserve"> of </w:t>
      </w:r>
      <w:r w:rsidR="00F85AF1" w:rsidRPr="00754DBD">
        <w:rPr>
          <w:lang w:val="en-GB"/>
        </w:rPr>
        <w:t>their husband/brother and son</w:t>
      </w:r>
      <w:r w:rsidRPr="00A5537A">
        <w:rPr>
          <w:lang w:val="en-GB"/>
        </w:rPr>
        <w:t xml:space="preserve">. </w:t>
      </w:r>
      <w:r w:rsidR="000B5C31" w:rsidRPr="00A5537A">
        <w:t xml:space="preserve">In this regard, the Panel deems that </w:t>
      </w:r>
      <w:r w:rsidR="00F85AF1">
        <w:t>t</w:t>
      </w:r>
      <w:r w:rsidR="000B5C31" w:rsidRPr="00A5537A">
        <w:t>h</w:t>
      </w:r>
      <w:r w:rsidR="00F85AF1">
        <w:t>ey invoke</w:t>
      </w:r>
      <w:r w:rsidR="000B5C31" w:rsidRPr="00A5537A">
        <w:t xml:space="preserve"> a violation of the procedural limb of Article 2 of the European Convention on Human Rights (ECHR).</w:t>
      </w:r>
    </w:p>
    <w:p w:rsidR="005B71F4" w:rsidRPr="00A5537A" w:rsidRDefault="005B71F4" w:rsidP="00EC64DD">
      <w:pPr>
        <w:widowControl w:val="0"/>
        <w:tabs>
          <w:tab w:val="left" w:pos="360"/>
          <w:tab w:val="left" w:pos="1080"/>
        </w:tabs>
        <w:suppressAutoHyphens/>
        <w:ind w:left="360" w:hanging="360"/>
        <w:jc w:val="both"/>
        <w:rPr>
          <w:lang w:val="en-GB"/>
        </w:rPr>
      </w:pPr>
    </w:p>
    <w:bookmarkEnd w:id="11"/>
    <w:p w:rsidR="00D04C96" w:rsidRPr="00A5537A" w:rsidRDefault="00D04C96" w:rsidP="00F85AF1">
      <w:pPr>
        <w:tabs>
          <w:tab w:val="left" w:pos="360"/>
        </w:tabs>
        <w:jc w:val="both"/>
      </w:pPr>
    </w:p>
    <w:p w:rsidR="007551D8" w:rsidRPr="00A5537A" w:rsidRDefault="007551D8" w:rsidP="00EC64DD">
      <w:pPr>
        <w:numPr>
          <w:ilvl w:val="0"/>
          <w:numId w:val="2"/>
        </w:numPr>
        <w:tabs>
          <w:tab w:val="left" w:pos="360"/>
        </w:tabs>
        <w:suppressAutoHyphens/>
        <w:autoSpaceDE w:val="0"/>
        <w:ind w:left="360" w:hanging="360"/>
        <w:jc w:val="both"/>
        <w:rPr>
          <w:b/>
          <w:bCs/>
          <w:lang w:val="en-GB"/>
        </w:rPr>
      </w:pPr>
      <w:r w:rsidRPr="00A5537A">
        <w:rPr>
          <w:b/>
          <w:bCs/>
          <w:lang w:val="en-GB"/>
        </w:rPr>
        <w:t>THE LAW</w:t>
      </w:r>
    </w:p>
    <w:p w:rsidR="00A47CBB" w:rsidRPr="00A5537A" w:rsidRDefault="00A47CBB" w:rsidP="00EC64DD">
      <w:pPr>
        <w:tabs>
          <w:tab w:val="left" w:pos="360"/>
        </w:tabs>
        <w:autoSpaceDE w:val="0"/>
        <w:ind w:left="360" w:hanging="360"/>
        <w:contextualSpacing/>
        <w:jc w:val="both"/>
        <w:rPr>
          <w:bCs/>
        </w:rPr>
      </w:pPr>
    </w:p>
    <w:p w:rsidR="007551D8" w:rsidRPr="00A5537A" w:rsidRDefault="00A47CBB" w:rsidP="00EC64DD">
      <w:pPr>
        <w:pStyle w:val="ListParagraph"/>
        <w:numPr>
          <w:ilvl w:val="0"/>
          <w:numId w:val="34"/>
        </w:numPr>
        <w:tabs>
          <w:tab w:val="left" w:pos="360"/>
        </w:tabs>
        <w:autoSpaceDE w:val="0"/>
        <w:ind w:left="360"/>
        <w:contextualSpacing/>
        <w:jc w:val="both"/>
        <w:rPr>
          <w:b/>
          <w:bCs/>
        </w:rPr>
      </w:pPr>
      <w:r w:rsidRPr="00A5537A">
        <w:rPr>
          <w:b/>
          <w:bCs/>
        </w:rPr>
        <w:t>T</w:t>
      </w:r>
      <w:r w:rsidR="007551D8" w:rsidRPr="00A5537A">
        <w:rPr>
          <w:b/>
          <w:bCs/>
        </w:rPr>
        <w:t>he scope of the Panel’s review</w:t>
      </w:r>
    </w:p>
    <w:p w:rsidR="00503727" w:rsidRPr="00A5537A" w:rsidRDefault="00503727" w:rsidP="00F85AF1">
      <w:pPr>
        <w:tabs>
          <w:tab w:val="left" w:pos="360"/>
        </w:tabs>
        <w:jc w:val="both"/>
        <w:rPr>
          <w:lang w:val="en-GB"/>
        </w:rPr>
      </w:pPr>
    </w:p>
    <w:p w:rsidR="00F85AF1" w:rsidRPr="00A5537A" w:rsidRDefault="00F85AF1" w:rsidP="00F85AF1">
      <w:pPr>
        <w:numPr>
          <w:ilvl w:val="0"/>
          <w:numId w:val="5"/>
        </w:numPr>
        <w:tabs>
          <w:tab w:val="left" w:pos="360"/>
          <w:tab w:val="num" w:pos="630"/>
        </w:tabs>
        <w:suppressAutoHyphens/>
        <w:autoSpaceDE w:val="0"/>
        <w:jc w:val="both"/>
        <w:rPr>
          <w:lang w:val="en-GB"/>
        </w:rPr>
      </w:pPr>
      <w:r w:rsidRPr="007F4E6B">
        <w:rPr>
          <w:bCs/>
          <w:lang w:val="en-GB"/>
        </w:rPr>
        <w:t xml:space="preserve">In determining whether it considers that there has been a violation of Article 2 (procedural limb) of the ECHR, the Panel </w:t>
      </w:r>
      <w:r w:rsidRPr="007F4E6B">
        <w:rPr>
          <w:lang w:val="en-GB"/>
        </w:rPr>
        <w:t xml:space="preserve"> </w:t>
      </w:r>
      <w:r w:rsidRPr="00A5537A">
        <w:rPr>
          <w:lang w:val="en-GB"/>
        </w:rPr>
        <w:t>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w:t>
      </w:r>
      <w:r>
        <w:rPr>
          <w:lang w:val="en-GB"/>
        </w:rPr>
        <w:t xml:space="preserve">ary responsibilities in Kosovo. </w:t>
      </w:r>
      <w:r w:rsidRPr="00A5537A">
        <w:rPr>
          <w:lang w:val="en-GB"/>
        </w:rPr>
        <w:t xml:space="preserve">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 </w:t>
      </w:r>
    </w:p>
    <w:p w:rsidR="00F85AF1" w:rsidRPr="00A5537A" w:rsidRDefault="00F85AF1" w:rsidP="00F85AF1">
      <w:pPr>
        <w:tabs>
          <w:tab w:val="left" w:pos="360"/>
        </w:tabs>
        <w:autoSpaceDE w:val="0"/>
        <w:ind w:left="360" w:hanging="360"/>
        <w:jc w:val="both"/>
        <w:rPr>
          <w:bCs/>
          <w:lang w:val="en-GB"/>
        </w:rPr>
      </w:pPr>
    </w:p>
    <w:p w:rsidR="00F85AF1" w:rsidRPr="00A5537A" w:rsidRDefault="00F85AF1" w:rsidP="00F85AF1">
      <w:pPr>
        <w:numPr>
          <w:ilvl w:val="0"/>
          <w:numId w:val="5"/>
        </w:numPr>
        <w:tabs>
          <w:tab w:val="left" w:pos="360"/>
          <w:tab w:val="num" w:pos="630"/>
        </w:tabs>
        <w:suppressAutoHyphens/>
        <w:autoSpaceDE w:val="0"/>
        <w:jc w:val="both"/>
        <w:rPr>
          <w:bCs/>
          <w:lang w:val="en-GB"/>
        </w:rPr>
      </w:pPr>
      <w:r w:rsidRPr="00A5537A">
        <w:rPr>
          <w:bCs/>
          <w:lang w:val="en-GB"/>
        </w:rPr>
        <w:t>Before turning to the examination of the merits of the complaint, the Panel needs to clarify the scope of its review.</w:t>
      </w:r>
    </w:p>
    <w:p w:rsidR="00F85AF1" w:rsidRPr="00A5537A" w:rsidRDefault="00F85AF1" w:rsidP="00F85AF1">
      <w:pPr>
        <w:tabs>
          <w:tab w:val="left" w:pos="360"/>
        </w:tabs>
        <w:autoSpaceDE w:val="0"/>
        <w:ind w:left="360" w:hanging="360"/>
        <w:jc w:val="both"/>
        <w:rPr>
          <w:bCs/>
          <w:lang w:val="en-GB"/>
        </w:rPr>
      </w:pPr>
    </w:p>
    <w:p w:rsidR="00F85AF1" w:rsidRPr="00A5537A" w:rsidRDefault="00F85AF1" w:rsidP="00F85AF1">
      <w:pPr>
        <w:numPr>
          <w:ilvl w:val="0"/>
          <w:numId w:val="5"/>
        </w:numPr>
        <w:tabs>
          <w:tab w:val="left" w:pos="360"/>
          <w:tab w:val="num" w:pos="630"/>
        </w:tabs>
        <w:suppressAutoHyphens/>
        <w:autoSpaceDE w:val="0"/>
        <w:jc w:val="both"/>
      </w:pPr>
      <w:bookmarkStart w:id="12" w:name="_Ref347321462"/>
      <w:bookmarkStart w:id="13" w:name="_Ref317418022"/>
      <w:r w:rsidRPr="00A5537A">
        <w:rPr>
          <w:color w:val="000000"/>
          <w:lang w:val="en-GB" w:eastAsia="nl-BE"/>
        </w:rPr>
        <w:t xml:space="preserve">The </w:t>
      </w:r>
      <w:r w:rsidRPr="00A5537A">
        <w:rPr>
          <w:bCs/>
          <w:lang w:val="en-GB"/>
        </w:rPr>
        <w:t>Panel</w:t>
      </w:r>
      <w:r w:rsidRPr="00A5537A">
        <w:rPr>
          <w:color w:val="000000"/>
          <w:lang w:val="en-GB" w:eastAsia="nl-BE"/>
        </w:rPr>
        <w:t xml:space="preserve"> notes that with the adoption of the UNMIK Regulation No. 1999/1 on 25 July 1999 UNMIK undertook an obligation to observe internationally recognised human </w:t>
      </w:r>
      <w:r w:rsidRPr="00A5537A">
        <w:rPr>
          <w:bCs/>
          <w:lang w:val="en-GB"/>
        </w:rPr>
        <w:t>rights</w:t>
      </w:r>
      <w:r w:rsidRPr="00A5537A">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A5537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A5537A">
          <w:rPr>
            <w:rStyle w:val="Hyperlink"/>
            <w:color w:val="auto"/>
            <w:u w:val="none"/>
            <w:lang w:val="en-GB"/>
          </w:rPr>
          <w:t>the Convention Against Torture and Other Cruel, Inhuman or Degrading Treatment or Punishment</w:t>
        </w:r>
      </w:hyperlink>
      <w:r w:rsidRPr="00A5537A">
        <w:rPr>
          <w:lang w:val="en-GB"/>
        </w:rPr>
        <w:t xml:space="preserve">, the </w:t>
      </w:r>
      <w:r w:rsidRPr="00A5537A">
        <w:t>Convention on the Rights of the Child.</w:t>
      </w:r>
      <w:bookmarkEnd w:id="12"/>
    </w:p>
    <w:p w:rsidR="00F85AF1" w:rsidRPr="00A5537A" w:rsidRDefault="00F85AF1" w:rsidP="00F85AF1">
      <w:pPr>
        <w:tabs>
          <w:tab w:val="left" w:pos="360"/>
        </w:tabs>
        <w:suppressAutoHyphens/>
        <w:autoSpaceDE w:val="0"/>
        <w:ind w:left="360" w:hanging="360"/>
        <w:jc w:val="both"/>
        <w:rPr>
          <w:lang w:val="en-GB"/>
        </w:rPr>
      </w:pPr>
      <w:bookmarkStart w:id="14" w:name="_Ref317493050"/>
    </w:p>
    <w:p w:rsidR="00F85AF1" w:rsidRPr="00A5537A" w:rsidRDefault="00F85AF1" w:rsidP="00F85AF1">
      <w:pPr>
        <w:numPr>
          <w:ilvl w:val="0"/>
          <w:numId w:val="5"/>
        </w:numPr>
        <w:tabs>
          <w:tab w:val="left" w:pos="360"/>
          <w:tab w:val="num" w:pos="630"/>
        </w:tabs>
        <w:suppressAutoHyphens/>
        <w:autoSpaceDE w:val="0"/>
        <w:jc w:val="both"/>
        <w:rPr>
          <w:lang w:val="en-GB"/>
        </w:rPr>
      </w:pPr>
      <w:bookmarkStart w:id="15" w:name="_Ref347495661"/>
      <w:r w:rsidRPr="00A5537A">
        <w:rPr>
          <w:rFonts w:cs="CAGLHH+TimesNewRoman"/>
          <w:color w:val="000000"/>
          <w:lang w:val="en-GB"/>
        </w:rPr>
        <w:t xml:space="preserve">The Panel also notes that Section 1.2 of </w:t>
      </w:r>
      <w:r w:rsidRPr="00A5537A">
        <w:rPr>
          <w:bCs/>
          <w:lang w:val="en-GB"/>
        </w:rPr>
        <w:t xml:space="preserve">UNMIK Regulation No. 2006/12 of 23 March 2006 on the Establishment of the Human Rights Advisory Panel </w:t>
      </w:r>
      <w:r w:rsidRPr="00A5537A">
        <w:rPr>
          <w:rFonts w:cs="CAGLHH+TimesNewRoman"/>
          <w:color w:val="000000"/>
          <w:lang w:val="en-GB"/>
        </w:rPr>
        <w:t xml:space="preserve">provides that the Panel “shall examine complaints from any person or group of individuals claiming to be the victim of a violation by UNMIK of (their) human rights”. It </w:t>
      </w:r>
      <w:r w:rsidRPr="00A5537A">
        <w:rPr>
          <w:bCs/>
          <w:lang w:val="en-GB"/>
        </w:rPr>
        <w:t>follows</w:t>
      </w:r>
      <w:r w:rsidRPr="00A5537A">
        <w:rPr>
          <w:rFonts w:cs="CAGLHH+TimesNewRoman"/>
          <w:color w:val="000000"/>
          <w:lang w:val="en-GB"/>
        </w:rPr>
        <w:t xml:space="preserve"> that only acts or omissions attributable to UNMIK fall within the jurisdiction </w:t>
      </w:r>
      <w:r w:rsidRPr="00A5537A">
        <w:rPr>
          <w:rFonts w:cs="CAGLHH+TimesNewRoman"/>
          <w:i/>
          <w:color w:val="000000"/>
          <w:lang w:val="en-GB"/>
        </w:rPr>
        <w:t>ratione personae</w:t>
      </w:r>
      <w:r w:rsidRPr="00A5537A">
        <w:rPr>
          <w:rFonts w:cs="CAGLHH+TimesNewRoman"/>
          <w:color w:val="000000"/>
          <w:lang w:val="en-GB"/>
        </w:rPr>
        <w:t xml:space="preserve"> of the Panel. In this respect, it should be noted, as stated above, that as of </w:t>
      </w:r>
      <w:r w:rsidRPr="00A5537A">
        <w:rPr>
          <w:lang w:val="en-GB"/>
        </w:rPr>
        <w:t xml:space="preserve">9 December 2008, UNMIK </w:t>
      </w:r>
      <w:r w:rsidRPr="00A5537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A5537A">
        <w:rPr>
          <w:bCs/>
          <w:i/>
          <w:lang w:val="en-GB"/>
        </w:rPr>
        <w:t>ratione personae</w:t>
      </w:r>
      <w:r w:rsidRPr="00A5537A">
        <w:rPr>
          <w:bCs/>
          <w:lang w:val="en-GB"/>
        </w:rPr>
        <w:t xml:space="preserve"> of the Panel.</w:t>
      </w:r>
      <w:bookmarkEnd w:id="14"/>
      <w:bookmarkEnd w:id="15"/>
    </w:p>
    <w:p w:rsidR="00F85AF1" w:rsidRPr="00A5537A" w:rsidRDefault="00F85AF1" w:rsidP="00F85AF1">
      <w:pPr>
        <w:pStyle w:val="ListParagraph"/>
        <w:tabs>
          <w:tab w:val="left" w:pos="360"/>
        </w:tabs>
        <w:ind w:left="360" w:hanging="360"/>
        <w:rPr>
          <w:lang w:val="en-GB"/>
        </w:rPr>
      </w:pPr>
    </w:p>
    <w:p w:rsidR="00F85AF1" w:rsidRPr="00470CE7" w:rsidRDefault="00F85AF1" w:rsidP="00F85AF1">
      <w:pPr>
        <w:numPr>
          <w:ilvl w:val="0"/>
          <w:numId w:val="5"/>
        </w:numPr>
        <w:tabs>
          <w:tab w:val="left" w:pos="360"/>
          <w:tab w:val="num" w:pos="630"/>
        </w:tabs>
        <w:suppressAutoHyphens/>
        <w:autoSpaceDE w:val="0"/>
        <w:jc w:val="both"/>
        <w:rPr>
          <w:bCs/>
          <w:lang w:val="en-GB"/>
        </w:rPr>
      </w:pPr>
      <w:bookmarkStart w:id="16" w:name="_Ref353794065"/>
      <w:r w:rsidRPr="00A5537A">
        <w:rPr>
          <w:rFonts w:cs="CAGLHH+TimesNewRoman"/>
          <w:color w:val="000000"/>
          <w:lang w:val="en-GB"/>
        </w:rPr>
        <w:t xml:space="preserve">Likewise, the Panel emphasises that, as far as its jurisdiction </w:t>
      </w:r>
      <w:proofErr w:type="spellStart"/>
      <w:r w:rsidRPr="00A5537A">
        <w:rPr>
          <w:rFonts w:cs="CAGLHH+TimesNewRoman"/>
          <w:i/>
          <w:color w:val="000000"/>
          <w:lang w:val="en-GB"/>
        </w:rPr>
        <w:t>ratione</w:t>
      </w:r>
      <w:proofErr w:type="spellEnd"/>
      <w:r w:rsidRPr="00A5537A">
        <w:rPr>
          <w:rFonts w:cs="CAGLHH+TimesNewRoman"/>
          <w:i/>
          <w:color w:val="000000"/>
          <w:lang w:val="en-GB"/>
        </w:rPr>
        <w:t xml:space="preserve"> </w:t>
      </w:r>
      <w:proofErr w:type="spellStart"/>
      <w:r w:rsidRPr="00A5537A">
        <w:rPr>
          <w:rFonts w:cs="CAGLHH+TimesNewRoman"/>
          <w:i/>
          <w:color w:val="000000"/>
          <w:lang w:val="en-GB"/>
        </w:rPr>
        <w:t>materiae</w:t>
      </w:r>
      <w:proofErr w:type="spellEnd"/>
      <w:r w:rsidRPr="00A5537A">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t>34</w:t>
      </w:r>
      <w:r w:rsidRPr="00A5537A">
        <w:rPr>
          <w:rFonts w:cs="CAGLHH+TimesNewRoman"/>
          <w:color w:val="000000"/>
          <w:lang w:val="en-GB"/>
        </w:rPr>
        <w:t>).</w:t>
      </w:r>
      <w:r w:rsidRPr="00A5537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16"/>
    </w:p>
    <w:p w:rsidR="00F85AF1" w:rsidRPr="00A5537A" w:rsidRDefault="00F85AF1" w:rsidP="00F85AF1">
      <w:pPr>
        <w:pStyle w:val="ListParagraph"/>
        <w:tabs>
          <w:tab w:val="left" w:pos="360"/>
        </w:tabs>
        <w:ind w:left="360" w:hanging="360"/>
        <w:rPr>
          <w:bCs/>
          <w:lang w:val="en-GB"/>
        </w:rPr>
      </w:pPr>
    </w:p>
    <w:p w:rsidR="00F85AF1" w:rsidRPr="00A5537A" w:rsidRDefault="00F85AF1" w:rsidP="00F85AF1">
      <w:pPr>
        <w:numPr>
          <w:ilvl w:val="0"/>
          <w:numId w:val="5"/>
        </w:numPr>
        <w:tabs>
          <w:tab w:val="left" w:pos="360"/>
          <w:tab w:val="left" w:pos="630"/>
          <w:tab w:val="left" w:pos="2790"/>
        </w:tabs>
        <w:suppressAutoHyphens/>
        <w:autoSpaceDE w:val="0"/>
        <w:jc w:val="both"/>
        <w:rPr>
          <w:bCs/>
          <w:lang w:val="en-GB"/>
        </w:rPr>
      </w:pPr>
      <w:bookmarkStart w:id="17" w:name="_Ref346123885"/>
      <w:r w:rsidRPr="00A5537A">
        <w:rPr>
          <w:bCs/>
          <w:lang w:val="en-GB"/>
        </w:rPr>
        <w:t>The Panel further notes that Section 2 of UNMIK Regulation No. 2006/12 provides that t</w:t>
      </w:r>
      <w:r w:rsidRPr="00A5537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A5537A">
        <w:rPr>
          <w:rFonts w:cs="CAGLHH+TimesNewRoman"/>
          <w:i/>
          <w:color w:val="000000"/>
          <w:lang w:val="en-GB"/>
        </w:rPr>
        <w:t>ratione temporis</w:t>
      </w:r>
      <w:r w:rsidRPr="00A5537A">
        <w:rPr>
          <w:rFonts w:cs="CAGLHH+TimesNewRoman"/>
          <w:color w:val="000000"/>
          <w:lang w:val="en-GB"/>
        </w:rPr>
        <w:t xml:space="preserve"> of the Panel. However, to the extent that such events gave rise to a continuing situation, the Panel has jurisdiction to examine complaints relating to that situation</w:t>
      </w:r>
      <w:bookmarkEnd w:id="13"/>
      <w:r w:rsidRPr="00A5537A">
        <w:rPr>
          <w:rFonts w:cs="CAGLHH+TimesNewRoman"/>
          <w:color w:val="000000"/>
          <w:lang w:val="en-GB"/>
        </w:rPr>
        <w:t xml:space="preserve"> (see European Court of Human Rights (</w:t>
      </w:r>
      <w:proofErr w:type="spellStart"/>
      <w:r w:rsidRPr="00A5537A">
        <w:rPr>
          <w:rFonts w:cs="CAGLHH+TimesNewRoman"/>
          <w:color w:val="000000"/>
          <w:lang w:val="en-GB"/>
        </w:rPr>
        <w:t>ECtHR</w:t>
      </w:r>
      <w:proofErr w:type="spellEnd"/>
      <w:r w:rsidRPr="00A5537A">
        <w:rPr>
          <w:rFonts w:cs="CAGLHH+TimesNewRoman"/>
          <w:color w:val="000000"/>
          <w:lang w:val="en-GB"/>
        </w:rPr>
        <w:t xml:space="preserve">), Grand Chamber, </w:t>
      </w:r>
      <w:proofErr w:type="spellStart"/>
      <w:r w:rsidRPr="00A5537A">
        <w:rPr>
          <w:rFonts w:cs="CAGLHH+TimesNewRoman"/>
          <w:i/>
          <w:color w:val="000000"/>
          <w:lang w:val="en-GB"/>
        </w:rPr>
        <w:t>Varnava</w:t>
      </w:r>
      <w:proofErr w:type="spellEnd"/>
      <w:r w:rsidRPr="00A5537A">
        <w:rPr>
          <w:rFonts w:cs="CAGLHH+TimesNewRoman"/>
          <w:i/>
          <w:color w:val="000000"/>
          <w:lang w:val="en-GB"/>
        </w:rPr>
        <w:t xml:space="preserve"> and Others v. Turkey</w:t>
      </w:r>
      <w:r w:rsidRPr="00A5537A">
        <w:rPr>
          <w:rFonts w:cs="CAGLHH+TimesNewRoman"/>
          <w:color w:val="000000"/>
          <w:lang w:val="en-GB"/>
        </w:rPr>
        <w:t xml:space="preserve">, nos. 16064/90 and others, judgment of 18 September 2009, §§ 147-149; ECtHR, </w:t>
      </w:r>
      <w:r w:rsidRPr="00A5537A">
        <w:rPr>
          <w:rFonts w:cs="CAGLHH+TimesNewRoman"/>
          <w:i/>
          <w:color w:val="000000"/>
          <w:lang w:val="en-GB"/>
        </w:rPr>
        <w:t xml:space="preserve">Cyprus v. Turkey </w:t>
      </w:r>
      <w:r w:rsidRPr="00A5537A">
        <w:rPr>
          <w:rFonts w:cs="CAGLHH+TimesNewRoman"/>
          <w:color w:val="000000"/>
          <w:lang w:val="en-GB"/>
        </w:rPr>
        <w:t xml:space="preserve">[GC] no. </w:t>
      </w:r>
      <w:r w:rsidRPr="00A5537A">
        <w:rPr>
          <w:rStyle w:val="s85f22697"/>
          <w:lang w:val="en-GB"/>
        </w:rPr>
        <w:t>25781/94, judgment of 10 May 2011,</w:t>
      </w:r>
      <w:r w:rsidRPr="00A5537A">
        <w:rPr>
          <w:rFonts w:cs="CAGLHH+TimesNewRoman"/>
          <w:color w:val="000000"/>
          <w:lang w:val="en-GB"/>
        </w:rPr>
        <w:t xml:space="preserve"> § 136, ECHR 2001-IV).</w:t>
      </w:r>
      <w:bookmarkEnd w:id="17"/>
      <w:r w:rsidRPr="00A5537A">
        <w:rPr>
          <w:rFonts w:cs="CAGLHH+TimesNewRoman"/>
          <w:color w:val="000000"/>
          <w:lang w:val="en-GB"/>
        </w:rPr>
        <w:t xml:space="preserve"> </w:t>
      </w:r>
    </w:p>
    <w:p w:rsidR="00F85AF1" w:rsidRPr="00A5537A" w:rsidRDefault="00F85AF1" w:rsidP="00F85AF1">
      <w:pPr>
        <w:pStyle w:val="ListParagraph"/>
        <w:tabs>
          <w:tab w:val="left" w:pos="360"/>
        </w:tabs>
        <w:ind w:left="360" w:hanging="360"/>
        <w:rPr>
          <w:lang w:val="en-GB"/>
        </w:rPr>
      </w:pPr>
    </w:p>
    <w:p w:rsidR="00F85AF1" w:rsidRPr="00A5537A" w:rsidRDefault="00F85AF1" w:rsidP="00F85AF1">
      <w:pPr>
        <w:pStyle w:val="ListParagraph"/>
        <w:numPr>
          <w:ilvl w:val="0"/>
          <w:numId w:val="34"/>
        </w:numPr>
        <w:tabs>
          <w:tab w:val="left" w:pos="360"/>
        </w:tabs>
        <w:autoSpaceDE w:val="0"/>
        <w:ind w:left="360"/>
        <w:contextualSpacing/>
        <w:jc w:val="both"/>
        <w:rPr>
          <w:b/>
          <w:lang w:val="en-GB"/>
        </w:rPr>
      </w:pPr>
      <w:r w:rsidRPr="00A5537A">
        <w:rPr>
          <w:b/>
          <w:lang w:val="en-GB"/>
        </w:rPr>
        <w:t xml:space="preserve">Alleged violation of </w:t>
      </w:r>
      <w:r w:rsidRPr="00A5537A">
        <w:rPr>
          <w:b/>
        </w:rPr>
        <w:t>the procedural obligation under</w:t>
      </w:r>
      <w:r w:rsidRPr="00A5537A">
        <w:rPr>
          <w:b/>
          <w:i/>
        </w:rPr>
        <w:t xml:space="preserve"> </w:t>
      </w:r>
      <w:r w:rsidRPr="00A5537A">
        <w:rPr>
          <w:b/>
          <w:lang w:val="en-GB"/>
        </w:rPr>
        <w:t>Article 2 of the ECHR</w:t>
      </w:r>
    </w:p>
    <w:p w:rsidR="00F85AF1" w:rsidRPr="00A5537A" w:rsidRDefault="00F85AF1" w:rsidP="00F85AF1">
      <w:pPr>
        <w:pStyle w:val="ListParagraph"/>
        <w:tabs>
          <w:tab w:val="left" w:pos="360"/>
        </w:tabs>
        <w:suppressAutoHyphens w:val="0"/>
        <w:autoSpaceDE w:val="0"/>
        <w:ind w:left="360" w:hanging="360"/>
        <w:contextualSpacing/>
        <w:jc w:val="both"/>
        <w:rPr>
          <w:b/>
          <w:bCs/>
          <w:lang w:val="en-GB"/>
        </w:rPr>
      </w:pPr>
    </w:p>
    <w:p w:rsidR="00F85AF1" w:rsidRPr="00A5537A" w:rsidRDefault="00F85AF1" w:rsidP="00F85AF1">
      <w:pPr>
        <w:numPr>
          <w:ilvl w:val="0"/>
          <w:numId w:val="5"/>
        </w:numPr>
        <w:tabs>
          <w:tab w:val="left" w:pos="360"/>
          <w:tab w:val="num" w:pos="630"/>
        </w:tabs>
        <w:suppressAutoHyphens/>
        <w:autoSpaceDE w:val="0"/>
        <w:jc w:val="both"/>
        <w:rPr>
          <w:bCs/>
          <w:lang w:val="en-GB"/>
        </w:rPr>
      </w:pPr>
      <w:r w:rsidRPr="00A5537A">
        <w:rPr>
          <w:bCs/>
          <w:lang w:val="en-GB"/>
        </w:rPr>
        <w:t>The Panel considers that the complainant</w:t>
      </w:r>
      <w:r>
        <w:rPr>
          <w:bCs/>
          <w:lang w:val="en-GB"/>
        </w:rPr>
        <w:t>s</w:t>
      </w:r>
      <w:r w:rsidRPr="00A5537A">
        <w:rPr>
          <w:bCs/>
          <w:lang w:val="en-GB"/>
        </w:rPr>
        <w:t xml:space="preserve"> invoke a violation of the procedural obligation stemming from the right to life, guaranteed by Article 2 of the European Convention on Human Rights (ECHR) in that </w:t>
      </w:r>
      <w:r w:rsidRPr="00A5537A">
        <w:rPr>
          <w:bCs/>
        </w:rPr>
        <w:t xml:space="preserve">UNMIK Police did not conduct an </w:t>
      </w:r>
      <w:r>
        <w:rPr>
          <w:bCs/>
        </w:rPr>
        <w:t>effective investigation into</w:t>
      </w:r>
      <w:r w:rsidR="00754DBD">
        <w:rPr>
          <w:bCs/>
        </w:rPr>
        <w:t xml:space="preserve"> the abduction and killing of</w:t>
      </w:r>
      <w:r>
        <w:rPr>
          <w:bCs/>
        </w:rPr>
        <w:t xml:space="preserve"> </w:t>
      </w:r>
      <w:r w:rsidRPr="00754DBD">
        <w:rPr>
          <w:lang w:val="en-GB"/>
        </w:rPr>
        <w:t>their husband/brother and son</w:t>
      </w:r>
      <w:r w:rsidR="00754DBD">
        <w:rPr>
          <w:lang w:val="en-GB"/>
        </w:rPr>
        <w:t>.</w:t>
      </w:r>
    </w:p>
    <w:p w:rsidR="00F85AF1" w:rsidRPr="000F336F" w:rsidRDefault="00F85AF1" w:rsidP="00F85AF1">
      <w:pPr>
        <w:tabs>
          <w:tab w:val="left" w:pos="360"/>
        </w:tabs>
        <w:suppressAutoHyphens/>
        <w:autoSpaceDE w:val="0"/>
        <w:ind w:left="360" w:hanging="360"/>
        <w:jc w:val="both"/>
        <w:rPr>
          <w:b/>
          <w:bCs/>
        </w:rPr>
      </w:pPr>
    </w:p>
    <w:p w:rsidR="00F85AF1" w:rsidRPr="00A5537A" w:rsidRDefault="00F85AF1" w:rsidP="00F85AF1">
      <w:pPr>
        <w:numPr>
          <w:ilvl w:val="1"/>
          <w:numId w:val="5"/>
        </w:numPr>
        <w:tabs>
          <w:tab w:val="clear" w:pos="-720"/>
          <w:tab w:val="left" w:pos="360"/>
          <w:tab w:val="num" w:pos="630"/>
        </w:tabs>
        <w:suppressAutoHyphens/>
        <w:autoSpaceDE w:val="0"/>
        <w:ind w:left="360"/>
        <w:jc w:val="both"/>
        <w:rPr>
          <w:b/>
          <w:bCs/>
          <w:lang w:val="en-GB"/>
        </w:rPr>
      </w:pPr>
      <w:r w:rsidRPr="00A5537A">
        <w:rPr>
          <w:b/>
          <w:color w:val="000000"/>
        </w:rPr>
        <w:t>T</w:t>
      </w:r>
      <w:r w:rsidRPr="00A5537A">
        <w:rPr>
          <w:b/>
          <w:bCs/>
          <w:lang w:val="en-GB"/>
        </w:rPr>
        <w:t>he Parties’ submissions</w:t>
      </w:r>
    </w:p>
    <w:p w:rsidR="00F85AF1" w:rsidRPr="00A5537A" w:rsidRDefault="00F85AF1" w:rsidP="00F85AF1">
      <w:pPr>
        <w:tabs>
          <w:tab w:val="left" w:pos="360"/>
        </w:tabs>
        <w:suppressAutoHyphens/>
        <w:autoSpaceDE w:val="0"/>
        <w:ind w:left="360" w:hanging="360"/>
        <w:jc w:val="both"/>
        <w:rPr>
          <w:bCs/>
          <w:lang w:val="en-GB"/>
        </w:rPr>
      </w:pPr>
    </w:p>
    <w:p w:rsidR="00F85AF1" w:rsidRPr="00754DBD" w:rsidRDefault="00F85AF1" w:rsidP="00F85AF1">
      <w:pPr>
        <w:numPr>
          <w:ilvl w:val="0"/>
          <w:numId w:val="5"/>
        </w:numPr>
        <w:tabs>
          <w:tab w:val="left" w:pos="360"/>
          <w:tab w:val="num" w:pos="630"/>
        </w:tabs>
        <w:suppressAutoHyphens/>
        <w:autoSpaceDE w:val="0"/>
        <w:jc w:val="both"/>
        <w:rPr>
          <w:bCs/>
          <w:lang w:val="en-GB"/>
        </w:rPr>
      </w:pPr>
      <w:r w:rsidRPr="00754DBD">
        <w:t>The</w:t>
      </w:r>
      <w:r w:rsidR="00754DBD" w:rsidRPr="00754DBD">
        <w:t xml:space="preserve"> Panel deems that the</w:t>
      </w:r>
      <w:r w:rsidRPr="00754DBD">
        <w:t xml:space="preserve"> </w:t>
      </w:r>
      <w:r w:rsidRPr="00754DBD">
        <w:rPr>
          <w:bCs/>
          <w:lang w:val="en-GB"/>
        </w:rPr>
        <w:t>complainants</w:t>
      </w:r>
      <w:r w:rsidRPr="00754DBD">
        <w:t xml:space="preserve"> allege a violation</w:t>
      </w:r>
      <w:r w:rsidR="00754DBD" w:rsidRPr="00754DBD">
        <w:t xml:space="preserve"> of Article 2 of the ECHR</w:t>
      </w:r>
      <w:r w:rsidRPr="00754DBD">
        <w:t xml:space="preserve"> through the lack of an adequate criminal investigation into the abduction and killing of </w:t>
      </w:r>
      <w:r w:rsidRPr="00754DBD">
        <w:rPr>
          <w:lang w:val="en-GB"/>
        </w:rPr>
        <w:t>their husband/brother and son</w:t>
      </w:r>
      <w:r w:rsidRPr="00754DBD">
        <w:t xml:space="preserve">. </w:t>
      </w:r>
    </w:p>
    <w:p w:rsidR="00F85AF1" w:rsidRPr="00754DBD" w:rsidRDefault="00F85AF1" w:rsidP="00F85AF1">
      <w:pPr>
        <w:tabs>
          <w:tab w:val="left" w:pos="360"/>
        </w:tabs>
        <w:suppressAutoHyphens/>
        <w:autoSpaceDE w:val="0"/>
        <w:ind w:left="360"/>
        <w:jc w:val="both"/>
        <w:rPr>
          <w:bCs/>
          <w:lang w:val="en-GB"/>
        </w:rPr>
      </w:pPr>
    </w:p>
    <w:p w:rsidR="00F85AF1" w:rsidRPr="00754DBD" w:rsidRDefault="00F85AF1" w:rsidP="00F85AF1">
      <w:pPr>
        <w:numPr>
          <w:ilvl w:val="0"/>
          <w:numId w:val="5"/>
        </w:numPr>
        <w:tabs>
          <w:tab w:val="left" w:pos="360"/>
          <w:tab w:val="num" w:pos="630"/>
        </w:tabs>
        <w:suppressAutoHyphens/>
        <w:autoSpaceDE w:val="0"/>
        <w:jc w:val="both"/>
        <w:rPr>
          <w:lang w:val="en-GB"/>
        </w:rPr>
      </w:pPr>
      <w:bookmarkStart w:id="18" w:name="_Ref347846976"/>
      <w:r w:rsidRPr="00754DBD">
        <w:rPr>
          <w:bCs/>
          <w:lang w:val="en-GB"/>
        </w:rPr>
        <w:t xml:space="preserve">The SRSG argues that, in general, when considering whether UNMIK has satisfied its procedural obligations under Article 2 of the ECHR, the Panel must take into consideration the special circumstances in Kosovo at the time. This was especially the case in the initial stage of its deployment, the period during which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r w:rsidRPr="00754DBD">
        <w:rPr>
          <w:bCs/>
          <w:lang w:val="en-GB"/>
        </w:rPr>
        <w:t>’s</w:t>
      </w:r>
      <w:proofErr w:type="spellEnd"/>
      <w:r w:rsidRPr="00754DBD">
        <w:rPr>
          <w:bCs/>
          <w:lang w:val="en-GB"/>
        </w:rPr>
        <w:t xml:space="preserve"> abduction and killing occurred.</w:t>
      </w:r>
      <w:bookmarkEnd w:id="18"/>
    </w:p>
    <w:p w:rsidR="00F85AF1" w:rsidRPr="00754DBD" w:rsidRDefault="00F85AF1" w:rsidP="00F85AF1">
      <w:pPr>
        <w:tabs>
          <w:tab w:val="left" w:pos="360"/>
        </w:tabs>
        <w:suppressAutoHyphens/>
        <w:autoSpaceDE w:val="0"/>
        <w:ind w:left="360"/>
        <w:jc w:val="both"/>
        <w:rPr>
          <w:lang w:val="en-GB"/>
        </w:rPr>
      </w:pPr>
    </w:p>
    <w:p w:rsidR="00F85AF1" w:rsidRPr="00754DBD" w:rsidRDefault="00F85AF1" w:rsidP="00F85AF1">
      <w:pPr>
        <w:numPr>
          <w:ilvl w:val="0"/>
          <w:numId w:val="5"/>
        </w:numPr>
        <w:tabs>
          <w:tab w:val="left" w:pos="360"/>
          <w:tab w:val="num" w:pos="630"/>
        </w:tabs>
        <w:suppressAutoHyphens/>
        <w:autoSpaceDE w:val="0"/>
        <w:jc w:val="both"/>
        <w:rPr>
          <w:lang w:val="en-GB"/>
        </w:rPr>
      </w:pPr>
      <w:r w:rsidRPr="00754DBD">
        <w:rPr>
          <w:lang w:val="en-GB"/>
        </w:rPr>
        <w:t xml:space="preserve">The SRSG further observes that when determining applications under Article 2, consideration must be given to not imposing an impossible or disproportionate burden on UNMIK. In this regard, the SRSG recalls the judgment of 15 February 2011 rendered by the European Court of Human Rights in the case </w:t>
      </w:r>
      <w:proofErr w:type="spellStart"/>
      <w:r w:rsidRPr="00754DBD">
        <w:rPr>
          <w:i/>
          <w:lang w:val="en-GB"/>
        </w:rPr>
        <w:t>Palić</w:t>
      </w:r>
      <w:proofErr w:type="spellEnd"/>
      <w:r w:rsidRPr="00754DBD">
        <w:rPr>
          <w:i/>
          <w:lang w:val="en-GB"/>
        </w:rPr>
        <w:t xml:space="preserve"> v. Bosnia and Herzegovina</w:t>
      </w:r>
      <w:r w:rsidRPr="00754DBD">
        <w:rPr>
          <w:lang w:val="en-GB"/>
        </w:rPr>
        <w:t>, stating at paragraph 70:</w:t>
      </w:r>
    </w:p>
    <w:p w:rsidR="00F85AF1" w:rsidRPr="00754DBD" w:rsidRDefault="00F85AF1" w:rsidP="00F85AF1">
      <w:pPr>
        <w:pStyle w:val="ListParagraph"/>
        <w:rPr>
          <w:lang w:val="en-GB"/>
        </w:rPr>
      </w:pPr>
    </w:p>
    <w:p w:rsidR="00F85AF1" w:rsidRPr="00754DBD" w:rsidRDefault="00F85AF1" w:rsidP="00F85AF1">
      <w:pPr>
        <w:suppressAutoHyphens/>
        <w:ind w:left="630"/>
        <w:jc w:val="both"/>
        <w:rPr>
          <w:lang w:val="en-GB"/>
        </w:rPr>
      </w:pPr>
      <w:r w:rsidRPr="00754DBD">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F85AF1" w:rsidRPr="00754DBD" w:rsidRDefault="00F85AF1" w:rsidP="00F85AF1">
      <w:pPr>
        <w:suppressAutoHyphens/>
        <w:jc w:val="both"/>
        <w:rPr>
          <w:lang w:val="en-GB"/>
        </w:rPr>
      </w:pPr>
    </w:p>
    <w:p w:rsidR="00F85AF1" w:rsidRPr="00754DBD" w:rsidRDefault="00F85AF1" w:rsidP="00F85AF1">
      <w:pPr>
        <w:pStyle w:val="Default"/>
        <w:numPr>
          <w:ilvl w:val="0"/>
          <w:numId w:val="5"/>
        </w:numPr>
        <w:tabs>
          <w:tab w:val="left" w:pos="720"/>
        </w:tabs>
        <w:jc w:val="both"/>
        <w:rPr>
          <w:i/>
        </w:rPr>
      </w:pPr>
      <w:r w:rsidRPr="00754DBD">
        <w:t>In the view of the SRSG, UNMIK was faced with a very similar situation</w:t>
      </w:r>
      <w:r w:rsidR="00754DBD" w:rsidRPr="00754DBD">
        <w:t xml:space="preserve"> in Kosovo</w:t>
      </w:r>
      <w:r w:rsidRPr="00754DBD">
        <w:t xml:space="preserve"> as the one in</w:t>
      </w:r>
      <w:r w:rsidR="00754DBD" w:rsidRPr="00754DBD">
        <w:t xml:space="preserve"> Bosnia in the aftermath of that </w:t>
      </w:r>
      <w:r w:rsidRPr="00754DBD">
        <w:t xml:space="preserve">conflict. The SRSG states that thousands of people were displaced or went missing. Many of the persons </w:t>
      </w:r>
      <w:r w:rsidR="00754DBD" w:rsidRPr="00754DBD">
        <w:t>who</w:t>
      </w:r>
      <w:r w:rsidRPr="00754DBD">
        <w:t xml:space="preserve"> went missing were abducted, killed, and buried in unmarked graves inside or outside Kosovo, which made it very difficult locating and recovering their mortal remains. </w:t>
      </w:r>
    </w:p>
    <w:p w:rsidR="00F85AF1" w:rsidRPr="00754DBD" w:rsidRDefault="00F85AF1" w:rsidP="00F85AF1">
      <w:pPr>
        <w:pStyle w:val="Default"/>
        <w:tabs>
          <w:tab w:val="left" w:pos="360"/>
          <w:tab w:val="left" w:pos="720"/>
        </w:tabs>
        <w:ind w:left="360"/>
        <w:jc w:val="both"/>
        <w:rPr>
          <w:i/>
        </w:rPr>
      </w:pPr>
    </w:p>
    <w:p w:rsidR="00F85AF1" w:rsidRPr="00754DBD" w:rsidRDefault="00F85AF1" w:rsidP="00F85AF1">
      <w:pPr>
        <w:pStyle w:val="Default"/>
        <w:numPr>
          <w:ilvl w:val="0"/>
          <w:numId w:val="5"/>
        </w:numPr>
        <w:tabs>
          <w:tab w:val="left" w:pos="720"/>
        </w:tabs>
        <w:jc w:val="both"/>
      </w:pPr>
      <w:r w:rsidRPr="00754DBD">
        <w:t>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w:t>
      </w:r>
      <w:r w:rsidR="00754DBD" w:rsidRPr="00754DBD">
        <w:t xml:space="preserve">perating procedures or </w:t>
      </w:r>
      <w:proofErr w:type="spellStart"/>
      <w:r w:rsidR="00754DBD" w:rsidRPr="00754DBD">
        <w:t>centralis</w:t>
      </w:r>
      <w:r w:rsidRPr="00754DBD">
        <w:t>ation</w:t>
      </w:r>
      <w:proofErr w:type="spellEnd"/>
      <w:r w:rsidRPr="00754DBD">
        <w:t xml:space="preserve"> led to problems with the evidence gathered in this phase. In 2000, the </w:t>
      </w:r>
      <w:r w:rsidR="00754DBD" w:rsidRPr="00754DBD">
        <w:t xml:space="preserve">ICTY launched a large, </w:t>
      </w:r>
      <w:proofErr w:type="spellStart"/>
      <w:r w:rsidR="00754DBD" w:rsidRPr="00754DBD">
        <w:t>centralis</w:t>
      </w:r>
      <w:r w:rsidRPr="00754DBD">
        <w:t>ed</w:t>
      </w:r>
      <w:proofErr w:type="spellEnd"/>
      <w:r w:rsidRPr="00754DBD">
        <w:t xml:space="preserve"> forensic operation, based at the </w:t>
      </w:r>
      <w:proofErr w:type="spellStart"/>
      <w:r w:rsidRPr="00754DBD">
        <w:t>Rahovec</w:t>
      </w:r>
      <w:proofErr w:type="spellEnd"/>
      <w:r w:rsidRPr="00754DBD">
        <w:t>/</w:t>
      </w:r>
      <w:proofErr w:type="spellStart"/>
      <w:r w:rsidRPr="00754DBD">
        <w:t>Orahovac</w:t>
      </w:r>
      <w:proofErr w:type="spellEnd"/>
      <w:r w:rsidRPr="00754DBD">
        <w:t xml:space="preserve"> mortuary, with standard operating procedures for all forensic teams except the British one, which operated independently out of </w:t>
      </w:r>
      <w:proofErr w:type="spellStart"/>
      <w:r w:rsidRPr="00754DBD">
        <w:t>Prishtinë</w:t>
      </w:r>
      <w:proofErr w:type="spellEnd"/>
      <w:r w:rsidRPr="00754DBD">
        <w:t>/</w:t>
      </w:r>
      <w:proofErr w:type="spellStart"/>
      <w:r w:rsidRPr="00754DBD">
        <w:t>Priština</w:t>
      </w:r>
      <w:proofErr w:type="spellEnd"/>
      <w:r w:rsidRPr="00754DBD">
        <w:t>.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754DBD">
        <w:rPr>
          <w:i/>
        </w:rPr>
        <w:t>ex-officio</w:t>
      </w:r>
      <w:r w:rsidRPr="00754DBD">
        <w:t xml:space="preserve">, without any broader prosecutorial strategy”. As a consequence, a large amount of unstructured information was collected. The SRSG states that, taking into account the difficulties described above, “the process of dealing effectively with disappearances and other serious violations of international humanitarian law has been understandably incremental” in Kosovo as it is reflected in the </w:t>
      </w:r>
      <w:proofErr w:type="spellStart"/>
      <w:r w:rsidRPr="00754DBD">
        <w:rPr>
          <w:i/>
        </w:rPr>
        <w:t>Palić</w:t>
      </w:r>
      <w:proofErr w:type="spellEnd"/>
      <w:r w:rsidRPr="00754DBD">
        <w:rPr>
          <w:i/>
        </w:rPr>
        <w:t xml:space="preserve"> </w:t>
      </w:r>
      <w:r w:rsidRPr="00754DBD">
        <w:t xml:space="preserve">case referred to above. The SRSG concludes that the work of the OMPF contributed greatly to determining the whereabouts and fate of the missing from the Kosovo conflict; however it was not possible to locate all the missing within the timeframe and resources available at that time. </w:t>
      </w:r>
    </w:p>
    <w:p w:rsidR="00F85AF1" w:rsidRPr="00754DBD" w:rsidRDefault="00F85AF1" w:rsidP="00F85AF1">
      <w:pPr>
        <w:pStyle w:val="Default"/>
        <w:tabs>
          <w:tab w:val="left" w:pos="360"/>
          <w:tab w:val="left" w:pos="720"/>
        </w:tabs>
        <w:ind w:left="360"/>
        <w:jc w:val="both"/>
      </w:pPr>
    </w:p>
    <w:p w:rsidR="00F85AF1" w:rsidRPr="00754DBD" w:rsidRDefault="00F85AF1" w:rsidP="00F85AF1">
      <w:pPr>
        <w:pStyle w:val="Default"/>
        <w:numPr>
          <w:ilvl w:val="0"/>
          <w:numId w:val="5"/>
        </w:numPr>
        <w:tabs>
          <w:tab w:val="left" w:pos="720"/>
        </w:tabs>
        <w:jc w:val="both"/>
      </w:pPr>
      <w:r w:rsidRPr="00754DBD">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p>
    <w:p w:rsidR="00F85AF1" w:rsidRPr="00754DBD" w:rsidRDefault="00F85AF1" w:rsidP="00F85AF1">
      <w:pPr>
        <w:pStyle w:val="ListParagraph"/>
        <w:rPr>
          <w:lang w:eastAsia="en-US"/>
        </w:rPr>
      </w:pPr>
    </w:p>
    <w:p w:rsidR="00F85AF1" w:rsidRPr="00754DBD" w:rsidRDefault="00F85AF1" w:rsidP="00F85AF1">
      <w:pPr>
        <w:pStyle w:val="Default"/>
        <w:tabs>
          <w:tab w:val="left" w:pos="360"/>
          <w:tab w:val="left" w:pos="720"/>
        </w:tabs>
        <w:ind w:left="720"/>
        <w:jc w:val="both"/>
      </w:pPr>
      <w:r w:rsidRPr="00754DBD">
        <w:t xml:space="preserve">“UNMIK Police had to deal in the aftermath of war with dead bodies and looted and burnt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to establish order and to quickly construct a framework to register and investigate crimes. </w:t>
      </w:r>
    </w:p>
    <w:p w:rsidR="00F85AF1" w:rsidRPr="00754DBD" w:rsidRDefault="00F85AF1" w:rsidP="00F85AF1">
      <w:pPr>
        <w:pStyle w:val="Default"/>
        <w:tabs>
          <w:tab w:val="left" w:pos="360"/>
          <w:tab w:val="left" w:pos="720"/>
        </w:tabs>
        <w:ind w:left="720"/>
        <w:jc w:val="both"/>
      </w:pPr>
    </w:p>
    <w:p w:rsidR="00F85AF1" w:rsidRPr="00754DBD" w:rsidRDefault="00F85AF1" w:rsidP="00F85AF1">
      <w:pPr>
        <w:pStyle w:val="Default"/>
        <w:tabs>
          <w:tab w:val="left" w:pos="360"/>
          <w:tab w:val="left" w:pos="720"/>
        </w:tabs>
        <w:ind w:left="720"/>
        <w:jc w:val="both"/>
      </w:pPr>
      <w:r w:rsidRPr="00754DBD">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F85AF1" w:rsidRPr="00754DBD" w:rsidRDefault="00F85AF1" w:rsidP="00F85AF1">
      <w:pPr>
        <w:pStyle w:val="ListParagraph"/>
        <w:rPr>
          <w:lang w:eastAsia="en-US"/>
        </w:rPr>
      </w:pPr>
    </w:p>
    <w:p w:rsidR="00F85AF1" w:rsidRPr="00754DBD" w:rsidRDefault="00F85AF1" w:rsidP="00F85AF1">
      <w:pPr>
        <w:pStyle w:val="Default"/>
        <w:numPr>
          <w:ilvl w:val="0"/>
          <w:numId w:val="5"/>
        </w:numPr>
        <w:tabs>
          <w:tab w:val="left" w:pos="720"/>
        </w:tabs>
        <w:jc w:val="both"/>
      </w:pPr>
      <w:r w:rsidRPr="00754DBD">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are not faced with the high number of cases of this nature associated with a post-conflict situation. </w:t>
      </w:r>
    </w:p>
    <w:p w:rsidR="00F85AF1" w:rsidRPr="00754DBD" w:rsidRDefault="00F85AF1" w:rsidP="00F85AF1">
      <w:pPr>
        <w:tabs>
          <w:tab w:val="left" w:pos="360"/>
        </w:tabs>
        <w:suppressAutoHyphens/>
        <w:autoSpaceDE w:val="0"/>
        <w:ind w:left="360" w:hanging="360"/>
        <w:jc w:val="both"/>
        <w:rPr>
          <w:bCs/>
          <w:lang w:val="en-GB"/>
        </w:rPr>
      </w:pPr>
    </w:p>
    <w:p w:rsidR="00F85AF1" w:rsidRPr="00754DBD" w:rsidRDefault="00F85AF1" w:rsidP="00F85AF1">
      <w:pPr>
        <w:numPr>
          <w:ilvl w:val="0"/>
          <w:numId w:val="5"/>
        </w:numPr>
        <w:tabs>
          <w:tab w:val="left" w:pos="360"/>
          <w:tab w:val="num" w:pos="630"/>
        </w:tabs>
        <w:suppressAutoHyphens/>
        <w:autoSpaceDE w:val="0"/>
        <w:jc w:val="both"/>
        <w:rPr>
          <w:bCs/>
          <w:lang w:val="en-GB"/>
        </w:rPr>
      </w:pPr>
      <w:r w:rsidRPr="00754DBD">
        <w:rPr>
          <w:bCs/>
          <w:lang w:val="en-GB"/>
        </w:rPr>
        <w:t xml:space="preserve">With regard to this particular case, the SRSG specifically argues that “based on the reference number given by MPU for the disappearances of Mr.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Mr.</w:t>
      </w:r>
      <w:proofErr w:type="spellEnd"/>
      <w:r w:rsidRPr="00754DBD">
        <w:rPr>
          <w:lang w:val="en-GB"/>
        </w:rPr>
        <w:t xml:space="preserve">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it can be asserted that</w:t>
      </w:r>
      <w:r w:rsidRPr="00754DBD">
        <w:rPr>
          <w:bCs/>
          <w:lang w:val="en-GB"/>
        </w:rPr>
        <w:t xml:space="preserve"> UNMIK OMPF and MPU became aware of their disappearance some time in 2000.” The SRSG highlights the various investigative steps undertaken by UNMIK to locate 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bCs/>
          <w:lang w:val="en-GB"/>
        </w:rPr>
        <w:t>, including the autopsies performed by an OMPF</w:t>
      </w:r>
      <w:r w:rsidR="00974624" w:rsidRPr="00754DBD">
        <w:rPr>
          <w:bCs/>
          <w:lang w:val="en-GB"/>
        </w:rPr>
        <w:t xml:space="preserve"> </w:t>
      </w:r>
      <w:r w:rsidRPr="00754DBD">
        <w:rPr>
          <w:bCs/>
          <w:lang w:val="en-GB"/>
        </w:rPr>
        <w:t>pathologist in 2000 and the DNA analysis performed by ICMP. “UNMIK therefore asserts that all the necessary investigative efforts were made to locate the mortal remains of the missing persons and establish their identity”.</w:t>
      </w:r>
    </w:p>
    <w:p w:rsidR="00FA27C4" w:rsidRPr="00754DBD" w:rsidRDefault="00FA27C4" w:rsidP="00F85AF1">
      <w:pPr>
        <w:tabs>
          <w:tab w:val="left" w:pos="360"/>
        </w:tabs>
        <w:suppressAutoHyphens/>
        <w:autoSpaceDE w:val="0"/>
        <w:ind w:left="360"/>
        <w:jc w:val="both"/>
        <w:rPr>
          <w:bCs/>
          <w:lang w:val="en-GB"/>
        </w:rPr>
      </w:pPr>
    </w:p>
    <w:p w:rsidR="00FA27C4" w:rsidRPr="00754DBD" w:rsidRDefault="00F85AF1" w:rsidP="00EC64DD">
      <w:pPr>
        <w:numPr>
          <w:ilvl w:val="0"/>
          <w:numId w:val="5"/>
        </w:numPr>
        <w:tabs>
          <w:tab w:val="left" w:pos="360"/>
        </w:tabs>
        <w:suppressAutoHyphens/>
        <w:autoSpaceDE w:val="0"/>
        <w:jc w:val="both"/>
        <w:rPr>
          <w:bCs/>
          <w:lang w:val="en-GB"/>
        </w:rPr>
      </w:pPr>
      <w:r w:rsidRPr="00754DBD">
        <w:rPr>
          <w:bCs/>
          <w:lang w:val="en-GB"/>
        </w:rPr>
        <w:t xml:space="preserve">With regard to the investigation aimed at identifying and bringing to justice the perpetrators who are responsible for the abduction and killing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00FA27C4" w:rsidRPr="00754DBD">
        <w:rPr>
          <w:bCs/>
          <w:lang w:val="en-GB"/>
        </w:rPr>
        <w:t xml:space="preserve">, the SRSG </w:t>
      </w:r>
      <w:r w:rsidR="00D91F29" w:rsidRPr="00754DBD">
        <w:rPr>
          <w:bCs/>
          <w:lang w:val="en-GB"/>
        </w:rPr>
        <w:t>specifically argues that</w:t>
      </w:r>
      <w:r w:rsidRPr="00754DBD">
        <w:rPr>
          <w:bCs/>
          <w:lang w:val="en-GB"/>
        </w:rPr>
        <w:t xml:space="preserve"> such an investigation was conducted by UNMIK.“In the War Crimes Unit Case Analysis Report, dated 23 August 2007, the investigator in charge of the case made a recommendation stating that ‘this case has elements that may constitute a Crime of </w:t>
      </w:r>
      <w:proofErr w:type="gramStart"/>
      <w:r w:rsidRPr="00754DBD">
        <w:rPr>
          <w:bCs/>
          <w:lang w:val="en-GB"/>
        </w:rPr>
        <w:t>War,</w:t>
      </w:r>
      <w:proofErr w:type="gramEnd"/>
      <w:r w:rsidRPr="00754DBD">
        <w:rPr>
          <w:bCs/>
          <w:lang w:val="en-GB"/>
        </w:rPr>
        <w:t xml:space="preserve"> therefore this case should be further investigated by an Investigator from the War Crimes Unit’. It is further pointed out that there are no known suspects in the case.” </w:t>
      </w:r>
    </w:p>
    <w:p w:rsidR="00F85AF1" w:rsidRPr="00754DBD" w:rsidRDefault="00F85AF1" w:rsidP="00F85AF1">
      <w:pPr>
        <w:tabs>
          <w:tab w:val="left" w:pos="360"/>
        </w:tabs>
        <w:suppressAutoHyphens/>
        <w:autoSpaceDE w:val="0"/>
        <w:ind w:left="360"/>
        <w:jc w:val="both"/>
        <w:rPr>
          <w:bCs/>
          <w:lang w:val="en-GB"/>
        </w:rPr>
      </w:pPr>
    </w:p>
    <w:p w:rsidR="00F85AF1" w:rsidRPr="00754DBD" w:rsidRDefault="00D91F29" w:rsidP="00F85AF1">
      <w:pPr>
        <w:numPr>
          <w:ilvl w:val="0"/>
          <w:numId w:val="5"/>
        </w:numPr>
        <w:tabs>
          <w:tab w:val="left" w:pos="360"/>
        </w:tabs>
        <w:suppressAutoHyphens/>
        <w:autoSpaceDE w:val="0"/>
        <w:jc w:val="both"/>
        <w:rPr>
          <w:bCs/>
          <w:lang w:val="en-GB"/>
        </w:rPr>
      </w:pPr>
      <w:bookmarkStart w:id="19" w:name="_Ref342314550"/>
      <w:r w:rsidRPr="00754DBD">
        <w:rPr>
          <w:bCs/>
          <w:lang w:val="en-GB"/>
        </w:rPr>
        <w:t xml:space="preserve">The SRSG finally argues that </w:t>
      </w:r>
      <w:r w:rsidR="001A67D1" w:rsidRPr="00754DBD">
        <w:rPr>
          <w:bCs/>
          <w:lang w:val="en-GB"/>
        </w:rPr>
        <w:t>“</w:t>
      </w:r>
      <w:r w:rsidR="00F85AF1" w:rsidRPr="00754DBD">
        <w:rPr>
          <w:bCs/>
          <w:lang w:val="en-GB"/>
        </w:rPr>
        <w:t xml:space="preserve">it is evident that UNMIK Police did conduct reasonable investigative efforts in accordance with the procedural requirements of Article 2, aiming at bringing the perpetrators to justice.” </w:t>
      </w:r>
      <w:bookmarkEnd w:id="19"/>
    </w:p>
    <w:p w:rsidR="00F85AF1" w:rsidRDefault="00F85AF1" w:rsidP="00F85AF1">
      <w:pPr>
        <w:suppressAutoHyphens/>
        <w:autoSpaceDE w:val="0"/>
        <w:jc w:val="both"/>
        <w:rPr>
          <w:bCs/>
          <w:lang w:val="en-GB"/>
        </w:rPr>
      </w:pPr>
    </w:p>
    <w:p w:rsidR="00F85AF1" w:rsidRPr="00A5537A" w:rsidRDefault="00F85AF1" w:rsidP="00F85AF1">
      <w:pPr>
        <w:tabs>
          <w:tab w:val="left" w:pos="360"/>
        </w:tabs>
        <w:suppressAutoHyphens/>
        <w:autoSpaceDE w:val="0"/>
        <w:ind w:left="360" w:hanging="360"/>
        <w:jc w:val="both"/>
        <w:rPr>
          <w:b/>
          <w:bCs/>
          <w:lang w:val="en-GB"/>
        </w:rPr>
      </w:pPr>
      <w:r w:rsidRPr="00A5537A">
        <w:rPr>
          <w:b/>
          <w:bCs/>
          <w:lang w:val="en-GB"/>
        </w:rPr>
        <w:t>2.</w:t>
      </w:r>
      <w:r w:rsidRPr="00A5537A">
        <w:rPr>
          <w:b/>
          <w:bCs/>
          <w:lang w:val="en-GB"/>
        </w:rPr>
        <w:tab/>
        <w:t>The Panel’s Assessment</w:t>
      </w:r>
    </w:p>
    <w:p w:rsidR="00F85AF1" w:rsidRPr="00A5537A" w:rsidRDefault="00F85AF1" w:rsidP="00F85AF1">
      <w:pPr>
        <w:tabs>
          <w:tab w:val="left" w:pos="360"/>
        </w:tabs>
        <w:suppressAutoHyphens/>
        <w:autoSpaceDE w:val="0"/>
        <w:ind w:left="360" w:hanging="360"/>
        <w:jc w:val="both"/>
        <w:rPr>
          <w:b/>
          <w:bCs/>
          <w:i/>
          <w:lang w:val="en-GB"/>
        </w:rPr>
      </w:pPr>
    </w:p>
    <w:p w:rsidR="00F85AF1" w:rsidRPr="00F85AF1" w:rsidRDefault="00F85AF1" w:rsidP="00F85AF1">
      <w:pPr>
        <w:pStyle w:val="ListParagraph"/>
        <w:numPr>
          <w:ilvl w:val="0"/>
          <w:numId w:val="35"/>
        </w:numPr>
        <w:tabs>
          <w:tab w:val="left" w:pos="360"/>
        </w:tabs>
        <w:suppressAutoHyphens w:val="0"/>
        <w:ind w:left="360"/>
        <w:contextualSpacing/>
        <w:jc w:val="both"/>
        <w:rPr>
          <w:i/>
          <w:lang w:eastAsia="en-US"/>
        </w:rPr>
      </w:pPr>
      <w:r w:rsidRPr="00F85AF1">
        <w:rPr>
          <w:i/>
          <w:lang w:eastAsia="en-US"/>
        </w:rPr>
        <w:t xml:space="preserve">Submission of relevant files </w:t>
      </w:r>
    </w:p>
    <w:p w:rsidR="00F85AF1" w:rsidRDefault="00F85AF1" w:rsidP="00F85AF1">
      <w:pPr>
        <w:suppressAutoHyphens/>
        <w:autoSpaceDE w:val="0"/>
        <w:ind w:left="360"/>
        <w:jc w:val="both"/>
        <w:rPr>
          <w:bCs/>
          <w:lang w:val="en-GB"/>
        </w:rPr>
      </w:pPr>
    </w:p>
    <w:p w:rsidR="00F85AF1" w:rsidRPr="00F85AF1" w:rsidRDefault="00407B13" w:rsidP="00F85AF1">
      <w:pPr>
        <w:numPr>
          <w:ilvl w:val="0"/>
          <w:numId w:val="5"/>
        </w:numPr>
        <w:tabs>
          <w:tab w:val="left" w:pos="360"/>
        </w:tabs>
        <w:suppressAutoHyphens/>
        <w:autoSpaceDE w:val="0"/>
        <w:jc w:val="both"/>
        <w:rPr>
          <w:bCs/>
          <w:lang w:val="en-GB"/>
        </w:rPr>
      </w:pPr>
      <w:r w:rsidRPr="00F85AF1">
        <w:t xml:space="preserve">The SRSG observes that </w:t>
      </w:r>
      <w:r w:rsidR="00F85AF1" w:rsidRPr="00F85AF1">
        <w:t xml:space="preserve">additional </w:t>
      </w:r>
      <w:r w:rsidR="00F85AF1" w:rsidRPr="00754DBD">
        <w:t>and conclusive information may exist beyond</w:t>
      </w:r>
      <w:r w:rsidR="00F85AF1" w:rsidRPr="00F85AF1">
        <w:t xml:space="preserve"> the</w:t>
      </w:r>
      <w:r w:rsidRPr="00F85AF1">
        <w:t xml:space="preserve"> case file submitted to the Panel concerning the investigation into the case of </w:t>
      </w:r>
      <w:proofErr w:type="spellStart"/>
      <w:r w:rsidR="00F85AF1" w:rsidRPr="00F85AF1">
        <w:rPr>
          <w:lang w:val="en-GB"/>
        </w:rPr>
        <w:t>Dimitrije</w:t>
      </w:r>
      <w:proofErr w:type="spellEnd"/>
      <w:r w:rsidR="00F85AF1" w:rsidRPr="00F85AF1">
        <w:rPr>
          <w:lang w:val="en-GB"/>
        </w:rPr>
        <w:t xml:space="preserve"> </w:t>
      </w:r>
      <w:proofErr w:type="spellStart"/>
      <w:r w:rsidR="00F85AF1" w:rsidRPr="00F85AF1">
        <w:rPr>
          <w:lang w:val="en-GB"/>
        </w:rPr>
        <w:t>Milenković</w:t>
      </w:r>
      <w:proofErr w:type="spellEnd"/>
      <w:r w:rsidR="00F85AF1" w:rsidRPr="00F85AF1">
        <w:rPr>
          <w:lang w:val="en-GB"/>
        </w:rPr>
        <w:t xml:space="preserve"> and </w:t>
      </w:r>
      <w:proofErr w:type="spellStart"/>
      <w:r w:rsidR="00F85AF1" w:rsidRPr="00F85AF1">
        <w:rPr>
          <w:lang w:val="en-GB"/>
        </w:rPr>
        <w:t>Aleksandar</w:t>
      </w:r>
      <w:proofErr w:type="spellEnd"/>
      <w:r w:rsidR="00F85AF1" w:rsidRPr="00F85AF1">
        <w:rPr>
          <w:lang w:val="en-GB"/>
        </w:rPr>
        <w:t xml:space="preserve"> </w:t>
      </w:r>
      <w:proofErr w:type="spellStart"/>
      <w:r w:rsidR="00F85AF1" w:rsidRPr="00F85AF1">
        <w:rPr>
          <w:lang w:val="en-GB"/>
        </w:rPr>
        <w:t>Milenković</w:t>
      </w:r>
      <w:proofErr w:type="spellEnd"/>
      <w:r w:rsidRPr="00F85AF1">
        <w:t xml:space="preserve">. </w:t>
      </w:r>
    </w:p>
    <w:p w:rsidR="00F85AF1" w:rsidRPr="00F85AF1" w:rsidRDefault="00F85AF1" w:rsidP="00F85AF1">
      <w:pPr>
        <w:suppressAutoHyphens/>
        <w:autoSpaceDE w:val="0"/>
        <w:ind w:left="360"/>
        <w:jc w:val="both"/>
        <w:rPr>
          <w:bCs/>
          <w:lang w:val="en-GB"/>
        </w:rPr>
      </w:pPr>
    </w:p>
    <w:p w:rsidR="00F85AF1" w:rsidRPr="00F85AF1" w:rsidRDefault="00407B13" w:rsidP="00F85AF1">
      <w:pPr>
        <w:numPr>
          <w:ilvl w:val="0"/>
          <w:numId w:val="5"/>
        </w:numPr>
        <w:tabs>
          <w:tab w:val="left" w:pos="360"/>
        </w:tabs>
        <w:suppressAutoHyphens/>
        <w:autoSpaceDE w:val="0"/>
        <w:jc w:val="both"/>
        <w:rPr>
          <w:bCs/>
          <w:lang w:val="en-GB"/>
        </w:rPr>
      </w:pPr>
      <w:r w:rsidRPr="00F85AF1">
        <w:t xml:space="preserve">The Panel notes that Section 15 of UNMIK Regulation No. 2006/12 states that the Panel may request the submission from UNMIK of any documents and that the SRSG shall cooperate with the Panel and </w:t>
      </w:r>
      <w:proofErr w:type="gramStart"/>
      <w:r w:rsidRPr="00F85AF1">
        <w:t>provide</w:t>
      </w:r>
      <w:proofErr w:type="gramEnd"/>
      <w:r w:rsidRPr="00F85AF1">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F85AF1">
        <w:rPr>
          <w:i/>
        </w:rPr>
        <w:t>Çelikbilek v. Turkey</w:t>
      </w:r>
      <w:r w:rsidRPr="00F85AF1">
        <w:t xml:space="preserve">, </w:t>
      </w:r>
      <w:r w:rsidRPr="00F85AF1">
        <w:rPr>
          <w:lang w:eastAsia="nl-BE"/>
        </w:rPr>
        <w:t>no. 27693/95, judgment of 31 May 2005</w:t>
      </w:r>
      <w:r w:rsidRPr="00F85AF1">
        <w:rPr>
          <w:i/>
          <w:iCs/>
          <w:lang w:eastAsia="nl-BE"/>
        </w:rPr>
        <w:t>,</w:t>
      </w:r>
      <w:r w:rsidRPr="00F85AF1">
        <w:rPr>
          <w:iCs/>
          <w:lang w:eastAsia="nl-BE"/>
        </w:rPr>
        <w:t xml:space="preserve"> § 56).</w:t>
      </w:r>
      <w:r w:rsidRPr="00F85AF1">
        <w:rPr>
          <w:rFonts w:ascii="Helv" w:hAnsi="Helv" w:cs="Helv"/>
          <w:sz w:val="20"/>
          <w:szCs w:val="20"/>
          <w:lang w:eastAsia="nl-BE"/>
        </w:rPr>
        <w:t xml:space="preserve"> </w:t>
      </w:r>
    </w:p>
    <w:p w:rsidR="00F85AF1" w:rsidRPr="00F85AF1" w:rsidRDefault="00F85AF1" w:rsidP="00F85AF1">
      <w:pPr>
        <w:suppressAutoHyphens/>
        <w:autoSpaceDE w:val="0"/>
        <w:ind w:left="360"/>
        <w:jc w:val="both"/>
        <w:rPr>
          <w:bCs/>
          <w:lang w:val="en-GB"/>
        </w:rPr>
      </w:pPr>
    </w:p>
    <w:p w:rsidR="00F85AF1" w:rsidRPr="00F85AF1" w:rsidRDefault="00407B13" w:rsidP="00F85AF1">
      <w:pPr>
        <w:numPr>
          <w:ilvl w:val="0"/>
          <w:numId w:val="5"/>
        </w:numPr>
        <w:tabs>
          <w:tab w:val="left" w:pos="360"/>
        </w:tabs>
        <w:suppressAutoHyphens/>
        <w:autoSpaceDE w:val="0"/>
        <w:jc w:val="both"/>
        <w:rPr>
          <w:bCs/>
          <w:lang w:val="en-GB"/>
        </w:rPr>
      </w:pPr>
      <w:r w:rsidRPr="00F85AF1">
        <w:t>The Panel notes that UNMIK was requested on at least three occasions to submit relevant documents in relation to the case. In response to the late</w:t>
      </w:r>
      <w:r w:rsidR="00915A75">
        <w:t xml:space="preserve">st request from the Panel, on </w:t>
      </w:r>
      <w:r w:rsidR="00915A75" w:rsidRPr="00754DBD">
        <w:t>2</w:t>
      </w:r>
      <w:r w:rsidRPr="00754DBD">
        <w:t xml:space="preserve"> </w:t>
      </w:r>
      <w:r w:rsidR="00915A75" w:rsidRPr="00754DBD">
        <w:t>May 2013</w:t>
      </w:r>
      <w:r w:rsidRPr="00754DBD">
        <w:t>,</w:t>
      </w:r>
      <w:r w:rsidRPr="00F85AF1">
        <w:t xml:space="preserve"> UNMIK stated that the disclosure of files concerning the case could be considered final. </w:t>
      </w:r>
    </w:p>
    <w:p w:rsidR="00F85AF1" w:rsidRPr="00F85AF1" w:rsidRDefault="00F85AF1" w:rsidP="00F85AF1">
      <w:pPr>
        <w:suppressAutoHyphens/>
        <w:autoSpaceDE w:val="0"/>
        <w:ind w:left="360"/>
        <w:jc w:val="both"/>
        <w:rPr>
          <w:bCs/>
          <w:lang w:val="en-GB"/>
        </w:rPr>
      </w:pPr>
    </w:p>
    <w:p w:rsidR="00F85AF1" w:rsidRPr="00F85AF1" w:rsidRDefault="00407B13" w:rsidP="00F85AF1">
      <w:pPr>
        <w:numPr>
          <w:ilvl w:val="0"/>
          <w:numId w:val="5"/>
        </w:numPr>
        <w:tabs>
          <w:tab w:val="left" w:pos="360"/>
        </w:tabs>
        <w:suppressAutoHyphens/>
        <w:autoSpaceDE w:val="0"/>
        <w:jc w:val="both"/>
        <w:rPr>
          <w:bCs/>
          <w:lang w:val="en-GB"/>
        </w:rPr>
      </w:pPr>
      <w:r w:rsidRPr="00F85AF1">
        <w:t xml:space="preserve">The Panel </w:t>
      </w:r>
      <w:r w:rsidR="008E75E1" w:rsidRPr="00F85AF1">
        <w:t xml:space="preserve">also </w:t>
      </w:r>
      <w:r w:rsidRPr="00F85AF1">
        <w:t>notes that the proper maintenance of investigative files concerning crimes such as killings and disappearances, from the opening of the investigation</w:t>
      </w:r>
      <w:r w:rsidR="008E75E1" w:rsidRPr="00F85AF1">
        <w:t>s</w:t>
      </w:r>
      <w:r w:rsidRPr="00F85AF1">
        <w:t xml:space="preserve"> to their handing over, is crucial to the continuation of such investigations and </w:t>
      </w:r>
      <w:r w:rsidR="008E75E1" w:rsidRPr="00F85AF1">
        <w:t xml:space="preserve">failure to do so </w:t>
      </w:r>
      <w:r w:rsidRPr="00F85AF1">
        <w:t xml:space="preserve">could thus raise </w:t>
      </w:r>
      <w:r w:rsidRPr="00F85AF1">
        <w:rPr>
          <w:i/>
        </w:rPr>
        <w:t>per se</w:t>
      </w:r>
      <w:r w:rsidRPr="00F85AF1">
        <w:t xml:space="preserve"> issues under Article 2. The Panel </w:t>
      </w:r>
      <w:r w:rsidR="008E75E1" w:rsidRPr="00F85AF1">
        <w:t>likewise</w:t>
      </w:r>
      <w:r w:rsidRPr="00F85AF1">
        <w:t xml:space="preserve"> notes that UNMIK has not provided any explanation as to why the documentation may be incomplete, nor with respect to which parts. </w:t>
      </w:r>
    </w:p>
    <w:p w:rsidR="00F85AF1" w:rsidRPr="00F85AF1" w:rsidRDefault="00F85AF1" w:rsidP="00F85AF1">
      <w:pPr>
        <w:suppressAutoHyphens/>
        <w:autoSpaceDE w:val="0"/>
        <w:ind w:left="360"/>
        <w:jc w:val="both"/>
        <w:rPr>
          <w:bCs/>
          <w:lang w:val="en-GB"/>
        </w:rPr>
      </w:pPr>
    </w:p>
    <w:p w:rsidR="00F85AF1" w:rsidRDefault="00407B13" w:rsidP="00F85AF1">
      <w:pPr>
        <w:numPr>
          <w:ilvl w:val="0"/>
          <w:numId w:val="5"/>
        </w:numPr>
        <w:tabs>
          <w:tab w:val="left" w:pos="360"/>
        </w:tabs>
        <w:suppressAutoHyphens/>
        <w:autoSpaceDE w:val="0"/>
        <w:jc w:val="both"/>
        <w:rPr>
          <w:bCs/>
          <w:lang w:val="en-GB"/>
        </w:rPr>
      </w:pPr>
      <w:r w:rsidRPr="00F85AF1">
        <w:t xml:space="preserve">The Panel itself is not in the position to verify the completeness of the investigative files received. The Panel will therefore assess the merits of the complaint on the basis of documents made available (in this sense, see ECtHR, </w:t>
      </w:r>
      <w:r w:rsidRPr="00F85AF1">
        <w:rPr>
          <w:i/>
        </w:rPr>
        <w:t>Tsechoyev v. Russia</w:t>
      </w:r>
      <w:r w:rsidRPr="00F85AF1">
        <w:t>, no. 39358/05, judgment of</w:t>
      </w:r>
      <w:r w:rsidRPr="00F85AF1">
        <w:rPr>
          <w:i/>
        </w:rPr>
        <w:t xml:space="preserve"> </w:t>
      </w:r>
      <w:r w:rsidRPr="00F85AF1">
        <w:t xml:space="preserve">15 March 2011, § 146). </w:t>
      </w:r>
    </w:p>
    <w:p w:rsidR="00F85AF1" w:rsidRDefault="00F85AF1" w:rsidP="00F85AF1">
      <w:pPr>
        <w:tabs>
          <w:tab w:val="left" w:pos="360"/>
        </w:tabs>
        <w:suppressAutoHyphens/>
        <w:autoSpaceDE w:val="0"/>
        <w:ind w:left="360"/>
        <w:jc w:val="both"/>
        <w:rPr>
          <w:bCs/>
          <w:lang w:val="en-GB"/>
        </w:rPr>
      </w:pPr>
    </w:p>
    <w:p w:rsidR="00F85AF1" w:rsidRPr="00F85AF1" w:rsidRDefault="00F85AF1" w:rsidP="001D4D56">
      <w:pPr>
        <w:pStyle w:val="ListParagraph"/>
        <w:numPr>
          <w:ilvl w:val="0"/>
          <w:numId w:val="35"/>
        </w:numPr>
        <w:tabs>
          <w:tab w:val="left" w:pos="360"/>
        </w:tabs>
        <w:suppressAutoHyphens w:val="0"/>
        <w:ind w:left="360"/>
        <w:contextualSpacing/>
        <w:jc w:val="both"/>
        <w:rPr>
          <w:i/>
          <w:lang w:eastAsia="en-US"/>
        </w:rPr>
      </w:pPr>
      <w:r w:rsidRPr="00F85AF1">
        <w:rPr>
          <w:i/>
          <w:lang w:eastAsia="en-US"/>
        </w:rPr>
        <w:t xml:space="preserve">General principles concerning the obligation to conduct an effective investigation under Article 2 </w:t>
      </w:r>
    </w:p>
    <w:p w:rsidR="00F85AF1" w:rsidRPr="00F85AF1" w:rsidRDefault="00F85AF1" w:rsidP="00754DBD">
      <w:pPr>
        <w:tabs>
          <w:tab w:val="left" w:pos="360"/>
        </w:tabs>
        <w:suppressAutoHyphens/>
        <w:autoSpaceDE w:val="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r w:rsidRPr="00F85AF1">
        <w:t>The complainant</w:t>
      </w:r>
      <w:r w:rsidR="00F85AF1">
        <w:t>s state</w:t>
      </w:r>
      <w:r w:rsidRPr="00F85AF1">
        <w:t xml:space="preserve"> that UNMIK failed to conduct an effective investigation into the </w:t>
      </w:r>
      <w:r w:rsidR="00F85AF1">
        <w:t>abduction</w:t>
      </w:r>
      <w:r w:rsidRPr="00F85AF1">
        <w:t xml:space="preserve"> and killing of </w:t>
      </w:r>
      <w:r w:rsidR="00F85AF1" w:rsidRPr="00754DBD">
        <w:rPr>
          <w:lang w:val="en-GB"/>
        </w:rPr>
        <w:t>their husband/brother and son</w:t>
      </w:r>
      <w:r w:rsidRPr="00754DBD">
        <w:t>.</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bookmarkStart w:id="20" w:name="_Ref358375480"/>
      <w:r w:rsidRPr="00F85AF1">
        <w:t xml:space="preserve">The Panel notes that the positive obligation to investigate disappearances is widely accepted in international human rights law since at least the case of the Inter-American Court of Human Rights (IACtHR) </w:t>
      </w:r>
      <w:r w:rsidRPr="00F85AF1">
        <w:rPr>
          <w:i/>
        </w:rPr>
        <w:t>Velásquez-Rodríguez</w:t>
      </w:r>
      <w:r w:rsidRPr="00F85AF1">
        <w:t xml:space="preserve"> (see IACtHR, Velásquez-Rodríguez v. Honduras,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F85AF1">
        <w:rPr>
          <w:i/>
        </w:rPr>
        <w:t>Mohamed El Awani, v. Libyan Arab Jamahiriya</w:t>
      </w:r>
      <w:r w:rsidRPr="00F85AF1">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0"/>
      <w:r w:rsidRPr="00F85AF1">
        <w:t xml:space="preserve">  </w:t>
      </w:r>
    </w:p>
    <w:p w:rsidR="00F85AF1" w:rsidRDefault="00F85AF1" w:rsidP="00F85AF1">
      <w:pPr>
        <w:suppressAutoHyphens/>
        <w:autoSpaceDE w:val="0"/>
        <w:ind w:left="360"/>
        <w:jc w:val="both"/>
        <w:rPr>
          <w:bCs/>
          <w:lang w:val="en-GB"/>
        </w:rPr>
      </w:pPr>
    </w:p>
    <w:p w:rsidR="00F85AF1" w:rsidRPr="00F85AF1" w:rsidRDefault="00015330" w:rsidP="00F85AF1">
      <w:pPr>
        <w:numPr>
          <w:ilvl w:val="0"/>
          <w:numId w:val="5"/>
        </w:numPr>
        <w:tabs>
          <w:tab w:val="left" w:pos="360"/>
        </w:tabs>
        <w:suppressAutoHyphens/>
        <w:autoSpaceDE w:val="0"/>
        <w:jc w:val="both"/>
        <w:rPr>
          <w:bCs/>
          <w:lang w:val="en-GB"/>
        </w:rPr>
      </w:pPr>
      <w:bookmarkStart w:id="21" w:name="_Ref358368938"/>
      <w:r w:rsidRPr="00F85AF1">
        <w:t>In order to addres</w:t>
      </w:r>
      <w:r w:rsidR="00F85AF1">
        <w:t>s the complainant</w:t>
      </w:r>
      <w:r w:rsidRPr="00F85AF1">
        <w:t>s</w:t>
      </w:r>
      <w:r w:rsidR="00F85AF1">
        <w:t>’</w:t>
      </w:r>
      <w:r w:rsidRPr="00F85AF1">
        <w:t xml:space="preserve"> allegations, the Panel refers, in particular, to the well-established case law of the European Court on Human Rights on the procedural obligation under Article 2 of the ECHR. The Court has held that “[The] obligation to protect the right to life under Article 2, read in conjunction with the State's general duty under Article 1 of the Convention to “secure to everyone within</w:t>
      </w:r>
      <w:r w:rsidR="008A291B" w:rsidRPr="00F85AF1">
        <w:t xml:space="preserve"> [its]</w:t>
      </w:r>
      <w:r w:rsidRPr="00F85AF1">
        <w:t xml:space="preserve"> jurisdiction the rights and freedoms defined in [the] Convention”, requires by implication that there should be some form of effective official investigation when individuals have been killed…” (see, mutatis mutandis, ECtHR, </w:t>
      </w:r>
      <w:r w:rsidRPr="00754DBD">
        <w:rPr>
          <w:i/>
        </w:rPr>
        <w:t>McCann and Others v. the United Kingdom</w:t>
      </w:r>
      <w:r w:rsidRPr="00F85AF1">
        <w:t xml:space="preserve">, judgment of 27 September 1995, § 161, Series A no. 324; and </w:t>
      </w:r>
      <w:proofErr w:type="spellStart"/>
      <w:r w:rsidRPr="00F85AF1">
        <w:t>ECtHR</w:t>
      </w:r>
      <w:proofErr w:type="spellEnd"/>
      <w:r w:rsidRPr="00F85AF1">
        <w:t xml:space="preserve">, </w:t>
      </w:r>
      <w:r w:rsidRPr="00754DBD">
        <w:rPr>
          <w:i/>
        </w:rPr>
        <w:t>Kaya v. Turkey</w:t>
      </w:r>
      <w:r w:rsidRPr="00F85AF1">
        <w:t xml:space="preserve">, judgment of 19 February 1998, § 86, Reports 1998-I; see also </w:t>
      </w:r>
      <w:proofErr w:type="spellStart"/>
      <w:r w:rsidRPr="00F85AF1">
        <w:t>ECtHR</w:t>
      </w:r>
      <w:proofErr w:type="spellEnd"/>
      <w:r w:rsidRPr="00F85AF1">
        <w:t xml:space="preserve">, </w:t>
      </w:r>
      <w:proofErr w:type="spellStart"/>
      <w:r w:rsidRPr="00754DBD">
        <w:rPr>
          <w:i/>
        </w:rPr>
        <w:t>Jasinskis</w:t>
      </w:r>
      <w:proofErr w:type="spellEnd"/>
      <w:r w:rsidRPr="00754DBD">
        <w:rPr>
          <w:i/>
        </w:rPr>
        <w:t xml:space="preserve"> v. Latvia</w:t>
      </w:r>
      <w:r w:rsidRPr="00F85AF1">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F85AF1">
        <w:t>ECtHR</w:t>
      </w:r>
      <w:proofErr w:type="spellEnd"/>
      <w:r w:rsidRPr="00F85AF1">
        <w:t xml:space="preserve">, </w:t>
      </w:r>
      <w:proofErr w:type="spellStart"/>
      <w:r w:rsidRPr="00754DBD">
        <w:rPr>
          <w:i/>
        </w:rPr>
        <w:t>Kolevi</w:t>
      </w:r>
      <w:proofErr w:type="spellEnd"/>
      <w:r w:rsidRPr="00754DBD">
        <w:rPr>
          <w:i/>
        </w:rPr>
        <w:t xml:space="preserve"> v. Bulgaria</w:t>
      </w:r>
      <w:r w:rsidRPr="00F85AF1">
        <w:t>, no. 1108/02, judgment of 5 November 2009, § 191).</w:t>
      </w:r>
      <w:bookmarkEnd w:id="21"/>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r w:rsidRPr="00F85AF1">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F85AF1">
        <w:rPr>
          <w:i/>
        </w:rPr>
        <w:t>Varnava and Others v. Turkey</w:t>
      </w:r>
      <w:r w:rsidRPr="00F85AF1">
        <w:t xml:space="preserve">, cited in § </w:t>
      </w:r>
      <w:r w:rsidR="0010066F">
        <w:fldChar w:fldCharType="begin"/>
      </w:r>
      <w:r w:rsidR="00754DBD">
        <w:instrText xml:space="preserve"> REF _Ref346123885 \r \h </w:instrText>
      </w:r>
      <w:r w:rsidR="0010066F">
        <w:fldChar w:fldCharType="separate"/>
      </w:r>
      <w:r w:rsidR="00CD6AC2">
        <w:t>44</w:t>
      </w:r>
      <w:r w:rsidR="0010066F">
        <w:fldChar w:fldCharType="end"/>
      </w:r>
      <w:r w:rsidRPr="00F85AF1">
        <w:t xml:space="preserve"> above, at § 136).</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bookmarkStart w:id="22" w:name="_Ref358368868"/>
      <w:r w:rsidRPr="00F85AF1">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F85AF1">
        <w:rPr>
          <w:i/>
        </w:rPr>
        <w:t>Ahmet Özkan and Others v. Turkey</w:t>
      </w:r>
      <w:r w:rsidRPr="00F85AF1">
        <w:t xml:space="preserve">, no. 21689/93, judgment of 6 April 2004, § 310, see also ECtHR, </w:t>
      </w:r>
      <w:r w:rsidRPr="00F85AF1">
        <w:rPr>
          <w:i/>
        </w:rPr>
        <w:t>Isayeva v. Russia</w:t>
      </w:r>
      <w:r w:rsidRPr="00F85AF1">
        <w:t>, no. 57950/00, judgment of 24 February 2005, § 210).</w:t>
      </w:r>
      <w:bookmarkEnd w:id="22"/>
      <w:r w:rsidRPr="00F85AF1">
        <w:t xml:space="preserve"> </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bookmarkStart w:id="23" w:name="_Ref358368767"/>
      <w:r w:rsidRPr="00F85AF1">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F85AF1">
        <w:rPr>
          <w:i/>
        </w:rPr>
        <w:t>, Varnava and Others v. Turkey</w:t>
      </w:r>
      <w:r w:rsidRPr="00F85AF1">
        <w:t xml:space="preserve">, cited above § 191; see also ECtHR, </w:t>
      </w:r>
      <w:r w:rsidRPr="00F85AF1">
        <w:rPr>
          <w:i/>
        </w:rPr>
        <w:t>Palić v. Bosnia and Herzegovina</w:t>
      </w:r>
      <w:r w:rsidRPr="00F85AF1">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F85AF1">
        <w:rPr>
          <w:i/>
        </w:rPr>
        <w:t>Ahmet Özkan and Others v. Turkey</w:t>
      </w:r>
      <w:r w:rsidR="00754DBD">
        <w:t xml:space="preserve">, cited in § </w:t>
      </w:r>
      <w:r w:rsidR="0010066F">
        <w:fldChar w:fldCharType="begin"/>
      </w:r>
      <w:r w:rsidR="00754DBD">
        <w:instrText xml:space="preserve"> REF _Ref358368868 \r \h </w:instrText>
      </w:r>
      <w:r w:rsidR="0010066F">
        <w:fldChar w:fldCharType="separate"/>
      </w:r>
      <w:r w:rsidR="00CD6AC2">
        <w:t>65</w:t>
      </w:r>
      <w:r w:rsidR="0010066F">
        <w:fldChar w:fldCharType="end"/>
      </w:r>
      <w:r w:rsidRPr="00F85AF1">
        <w:t xml:space="preserve"> above, at § 312, and</w:t>
      </w:r>
      <w:r w:rsidRPr="00F85AF1">
        <w:rPr>
          <w:i/>
        </w:rPr>
        <w:t xml:space="preserve"> Isayeva v. Russia</w:t>
      </w:r>
      <w:r w:rsidRPr="00F85AF1">
        <w:t>, cited in</w:t>
      </w:r>
      <w:r w:rsidR="00754DBD">
        <w:t xml:space="preserve"> §</w:t>
      </w:r>
      <w:r w:rsidRPr="00F85AF1">
        <w:t xml:space="preserve"> </w:t>
      </w:r>
      <w:r w:rsidR="0010066F">
        <w:fldChar w:fldCharType="begin"/>
      </w:r>
      <w:r w:rsidR="00754DBD">
        <w:instrText xml:space="preserve"> REF _Ref358368868 \r \h </w:instrText>
      </w:r>
      <w:r w:rsidR="0010066F">
        <w:fldChar w:fldCharType="separate"/>
      </w:r>
      <w:r w:rsidR="00CD6AC2">
        <w:t>65</w:t>
      </w:r>
      <w:r w:rsidR="0010066F">
        <w:fldChar w:fldCharType="end"/>
      </w:r>
      <w:r w:rsidR="00754DBD">
        <w:t xml:space="preserve"> </w:t>
      </w:r>
      <w:r w:rsidRPr="00F85AF1">
        <w:t>above, at § 212).</w:t>
      </w:r>
      <w:bookmarkEnd w:id="23"/>
      <w:r w:rsidRPr="00F85AF1">
        <w:t xml:space="preserve"> </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r w:rsidRPr="00F85AF1">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F85AF1">
        <w:rPr>
          <w:i/>
        </w:rPr>
        <w:t>Kolevi v. Bulgaria</w:t>
      </w:r>
      <w:r w:rsidRPr="00F85AF1">
        <w:t>, cited</w:t>
      </w:r>
      <w:r w:rsidR="00754DBD">
        <w:t xml:space="preserve"> in §</w:t>
      </w:r>
      <w:r w:rsidRPr="00F85AF1">
        <w:t xml:space="preserve"> </w:t>
      </w:r>
      <w:r w:rsidR="0010066F">
        <w:fldChar w:fldCharType="begin"/>
      </w:r>
      <w:r w:rsidR="00754DBD">
        <w:instrText xml:space="preserve"> REF _Ref358368938 \r \h </w:instrText>
      </w:r>
      <w:r w:rsidR="0010066F">
        <w:fldChar w:fldCharType="separate"/>
      </w:r>
      <w:r w:rsidR="00CD6AC2">
        <w:t>63</w:t>
      </w:r>
      <w:r w:rsidR="0010066F">
        <w:fldChar w:fldCharType="end"/>
      </w:r>
      <w:r w:rsidR="00754DBD">
        <w:t xml:space="preserve"> </w:t>
      </w:r>
      <w:r w:rsidRPr="00F85AF1">
        <w:t xml:space="preserve">above,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F85AF1">
        <w:rPr>
          <w:i/>
        </w:rPr>
        <w:t>Velcea and Mazăre</w:t>
      </w:r>
      <w:r w:rsidRPr="00F85AF1">
        <w:t xml:space="preserve"> </w:t>
      </w:r>
      <w:r w:rsidRPr="00F85AF1">
        <w:rPr>
          <w:i/>
        </w:rPr>
        <w:t>v. Romania</w:t>
      </w:r>
      <w:r w:rsidRPr="00F85AF1">
        <w:t xml:space="preserve">, no. 64301/01, judgment of 1 December 2009, § 105). </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r w:rsidRPr="00F85AF1">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754DBD">
        <w:rPr>
          <w:i/>
        </w:rPr>
        <w:t>Palić v. Bosnia and Herzegovina</w:t>
      </w:r>
      <w:r w:rsidRPr="00F85AF1">
        <w:t xml:space="preserve">, cited in § </w:t>
      </w:r>
      <w:r w:rsidR="00754DBD">
        <w:t xml:space="preserve">66 </w:t>
      </w:r>
      <w:r w:rsidRPr="00F85AF1">
        <w:t xml:space="preserve">above, at § 46; in the same sense ECtHR [GC], </w:t>
      </w:r>
      <w:r w:rsidRPr="00754DBD">
        <w:rPr>
          <w:i/>
        </w:rPr>
        <w:t>Varnava and Others v. Turkey</w:t>
      </w:r>
      <w:r w:rsidRPr="00F85AF1">
        <w:t xml:space="preserve">, cited in § </w:t>
      </w:r>
      <w:r w:rsidR="00094B86">
        <w:fldChar w:fldCharType="begin"/>
      </w:r>
      <w:r w:rsidR="00094B86">
        <w:instrText xml:space="preserve"> REF _Ref346123885 \r \h  \* MERGEFORMAT </w:instrText>
      </w:r>
      <w:r w:rsidR="00094B86">
        <w:fldChar w:fldCharType="separate"/>
      </w:r>
      <w:r w:rsidR="00CD6AC2">
        <w:t>44</w:t>
      </w:r>
      <w:r w:rsidR="00094B86">
        <w:fldChar w:fldCharType="end"/>
      </w:r>
      <w:r w:rsidRPr="00F85AF1">
        <w:t xml:space="preserve"> above, at § 148, </w:t>
      </w:r>
      <w:r w:rsidRPr="00754DBD">
        <w:rPr>
          <w:i/>
        </w:rPr>
        <w:t>Aslakhanova and Others v. Russia</w:t>
      </w:r>
      <w:r w:rsidRPr="00F85AF1">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754DBD">
        <w:rPr>
          <w:i/>
        </w:rPr>
        <w:t>Palić v. Bosnia and Herzegovina</w:t>
      </w:r>
      <w:r w:rsidRPr="00F85AF1">
        <w:t xml:space="preserve">, cited above, at § </w:t>
      </w:r>
      <w:r w:rsidR="0010066F">
        <w:fldChar w:fldCharType="begin"/>
      </w:r>
      <w:r w:rsidR="00754DBD">
        <w:instrText xml:space="preserve"> REF _Ref358368767 \r \h </w:instrText>
      </w:r>
      <w:r w:rsidR="0010066F">
        <w:fldChar w:fldCharType="separate"/>
      </w:r>
      <w:r w:rsidR="00CD6AC2">
        <w:t>66</w:t>
      </w:r>
      <w:r w:rsidR="0010066F">
        <w:fldChar w:fldCharType="end"/>
      </w:r>
      <w:r w:rsidRPr="00F85AF1">
        <w:t xml:space="preserve">; in the same sense ECtHR [GC], </w:t>
      </w:r>
      <w:r w:rsidRPr="00754DBD">
        <w:rPr>
          <w:i/>
        </w:rPr>
        <w:t>Varnava and Others v. Turkey</w:t>
      </w:r>
      <w:r w:rsidRPr="00F85AF1">
        <w:t xml:space="preserve">, cited in § </w:t>
      </w:r>
      <w:r w:rsidR="00094B86">
        <w:fldChar w:fldCharType="begin"/>
      </w:r>
      <w:r w:rsidR="00094B86">
        <w:instrText xml:space="preserve"> REF _Ref346123885 \r \h  \* MERGEFORMAT </w:instrText>
      </w:r>
      <w:r w:rsidR="00094B86">
        <w:fldChar w:fldCharType="separate"/>
      </w:r>
      <w:r w:rsidR="00CD6AC2">
        <w:t>44</w:t>
      </w:r>
      <w:r w:rsidR="00094B86">
        <w:fldChar w:fldCharType="end"/>
      </w:r>
      <w:r w:rsidRPr="00F85AF1">
        <w:t xml:space="preserve"> above, at § 145). While the location and the subsequent identification of the mortal remains of the victim may in themselves be significant achievements, the procedural obligation under Article 2 continues to exist (see ECtHR, </w:t>
      </w:r>
      <w:r w:rsidRPr="00754DBD">
        <w:rPr>
          <w:i/>
        </w:rPr>
        <w:t>Palić v. Bosnia and Herzegovina</w:t>
      </w:r>
      <w:r w:rsidRPr="00F85AF1">
        <w:t>, cited</w:t>
      </w:r>
      <w:r w:rsidR="00754DBD">
        <w:t xml:space="preserve"> in § </w:t>
      </w:r>
      <w:r w:rsidR="0010066F">
        <w:fldChar w:fldCharType="begin"/>
      </w:r>
      <w:r w:rsidR="00754DBD">
        <w:instrText xml:space="preserve"> REF _Ref358368767 \r \h </w:instrText>
      </w:r>
      <w:r w:rsidR="0010066F">
        <w:fldChar w:fldCharType="separate"/>
      </w:r>
      <w:r w:rsidR="00CD6AC2">
        <w:t>66</w:t>
      </w:r>
      <w:r w:rsidR="0010066F">
        <w:fldChar w:fldCharType="end"/>
      </w:r>
      <w:r w:rsidRPr="00F85AF1">
        <w:t xml:space="preserve"> above, at § 64).</w:t>
      </w:r>
    </w:p>
    <w:p w:rsidR="00F85AF1" w:rsidRDefault="00F85AF1" w:rsidP="00F85AF1">
      <w:pPr>
        <w:suppressAutoHyphens/>
        <w:autoSpaceDE w:val="0"/>
        <w:ind w:left="360"/>
        <w:jc w:val="both"/>
        <w:rPr>
          <w:bCs/>
          <w:lang w:val="en-GB"/>
        </w:rPr>
      </w:pPr>
    </w:p>
    <w:p w:rsidR="008E75E1" w:rsidRPr="00F85AF1" w:rsidRDefault="008E75E1" w:rsidP="00F85AF1">
      <w:pPr>
        <w:numPr>
          <w:ilvl w:val="0"/>
          <w:numId w:val="5"/>
        </w:numPr>
        <w:tabs>
          <w:tab w:val="left" w:pos="360"/>
        </w:tabs>
        <w:suppressAutoHyphens/>
        <w:autoSpaceDE w:val="0"/>
        <w:jc w:val="both"/>
        <w:rPr>
          <w:bCs/>
          <w:lang w:val="en-GB"/>
        </w:rPr>
      </w:pPr>
      <w:bookmarkStart w:id="24" w:name="_Ref358368789"/>
      <w:r w:rsidRPr="00F85AF1">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F85AF1">
        <w:rPr>
          <w:i/>
        </w:rPr>
        <w:t>Ahmet Özkan and Others v. Turkey</w:t>
      </w:r>
      <w:r w:rsidRPr="00F85AF1">
        <w:t xml:space="preserve">, cited in § </w:t>
      </w:r>
      <w:r w:rsidR="0010066F">
        <w:fldChar w:fldCharType="begin"/>
      </w:r>
      <w:r w:rsidR="00754DBD">
        <w:instrText xml:space="preserve"> REF _Ref358368767 \r \h </w:instrText>
      </w:r>
      <w:r w:rsidR="0010066F">
        <w:fldChar w:fldCharType="separate"/>
      </w:r>
      <w:r w:rsidR="00CD6AC2">
        <w:t>66</w:t>
      </w:r>
      <w:r w:rsidR="0010066F">
        <w:fldChar w:fldCharType="end"/>
      </w:r>
      <w:r w:rsidR="00754DBD">
        <w:t xml:space="preserve"> </w:t>
      </w:r>
      <w:r w:rsidRPr="00F85AF1">
        <w:t>above, at §§ 311</w:t>
      </w:r>
      <w:r w:rsidRPr="00F85AF1">
        <w:noBreakHyphen/>
        <w:t xml:space="preserve">314; </w:t>
      </w:r>
      <w:proofErr w:type="spellStart"/>
      <w:r w:rsidRPr="00F85AF1">
        <w:rPr>
          <w:i/>
        </w:rPr>
        <w:t>Isayeva</w:t>
      </w:r>
      <w:proofErr w:type="spellEnd"/>
      <w:r w:rsidRPr="00F85AF1">
        <w:rPr>
          <w:i/>
        </w:rPr>
        <w:t xml:space="preserve"> v. Russia</w:t>
      </w:r>
      <w:r w:rsidRPr="00F85AF1">
        <w:t>, cited</w:t>
      </w:r>
      <w:r w:rsidR="00754DBD">
        <w:t xml:space="preserve"> in § </w:t>
      </w:r>
      <w:r w:rsidR="0010066F">
        <w:fldChar w:fldCharType="begin"/>
      </w:r>
      <w:r w:rsidR="00754DBD">
        <w:instrText xml:space="preserve"> REF _Ref358368868 \r \h </w:instrText>
      </w:r>
      <w:r w:rsidR="0010066F">
        <w:fldChar w:fldCharType="separate"/>
      </w:r>
      <w:r w:rsidR="00CD6AC2">
        <w:t>65</w:t>
      </w:r>
      <w:r w:rsidR="0010066F">
        <w:fldChar w:fldCharType="end"/>
      </w:r>
      <w:r w:rsidR="00754DBD">
        <w:t xml:space="preserve"> </w:t>
      </w:r>
      <w:r w:rsidRPr="00F85AF1">
        <w:t xml:space="preserve">above, §§ 211-214 and the cases cited therein).” ECtHR [GC], </w:t>
      </w:r>
      <w:r w:rsidRPr="00F85AF1">
        <w:rPr>
          <w:i/>
        </w:rPr>
        <w:t>Al-Skeini and Others v. United Kingdom</w:t>
      </w:r>
      <w:r w:rsidRPr="00F85AF1">
        <w:t>, no. 55721/07, judgment of 7 July 2011, § 167, ECHR 2011).</w:t>
      </w:r>
      <w:bookmarkEnd w:id="24"/>
    </w:p>
    <w:p w:rsidR="008E75E1" w:rsidRPr="00A5537A" w:rsidRDefault="008E75E1" w:rsidP="00EC64DD">
      <w:pPr>
        <w:tabs>
          <w:tab w:val="left" w:pos="360"/>
        </w:tabs>
        <w:suppressAutoHyphens/>
        <w:ind w:left="360" w:hanging="360"/>
        <w:jc w:val="both"/>
        <w:rPr>
          <w:b/>
          <w:i/>
          <w:lang w:val="en-GB"/>
        </w:rPr>
      </w:pPr>
    </w:p>
    <w:p w:rsidR="00005EDC" w:rsidRPr="00A5537A" w:rsidRDefault="00005EDC" w:rsidP="00EC64DD">
      <w:pPr>
        <w:pStyle w:val="ListParagraph"/>
        <w:numPr>
          <w:ilvl w:val="0"/>
          <w:numId w:val="35"/>
        </w:numPr>
        <w:tabs>
          <w:tab w:val="left" w:pos="360"/>
        </w:tabs>
        <w:suppressAutoHyphens w:val="0"/>
        <w:ind w:left="360"/>
        <w:contextualSpacing/>
        <w:jc w:val="both"/>
        <w:rPr>
          <w:i/>
          <w:color w:val="000000"/>
          <w:lang w:eastAsia="en-US"/>
        </w:rPr>
      </w:pPr>
      <w:r w:rsidRPr="00A5537A">
        <w:rPr>
          <w:i/>
          <w:color w:val="000000"/>
          <w:lang w:eastAsia="en-US"/>
        </w:rPr>
        <w:t>Applicability of Article 2 to the Kosovo context</w:t>
      </w:r>
      <w:r w:rsidR="008E75E1">
        <w:rPr>
          <w:i/>
          <w:color w:val="000000"/>
          <w:lang w:eastAsia="en-US"/>
        </w:rPr>
        <w:t xml:space="preserve"> </w:t>
      </w:r>
    </w:p>
    <w:p w:rsidR="00005EDC" w:rsidRPr="00A5537A" w:rsidRDefault="00005EDC" w:rsidP="00EC64DD">
      <w:pPr>
        <w:tabs>
          <w:tab w:val="left" w:pos="360"/>
        </w:tabs>
        <w:suppressAutoHyphens/>
        <w:ind w:left="360" w:hanging="360"/>
        <w:jc w:val="both"/>
        <w:rPr>
          <w:b/>
          <w:i/>
          <w:lang w:val="en-GB"/>
        </w:rPr>
      </w:pPr>
    </w:p>
    <w:p w:rsidR="00005EDC" w:rsidRPr="00A5537A" w:rsidRDefault="00005EDC" w:rsidP="00EC64DD">
      <w:pPr>
        <w:pStyle w:val="ListParagraph"/>
        <w:numPr>
          <w:ilvl w:val="0"/>
          <w:numId w:val="5"/>
        </w:numPr>
        <w:tabs>
          <w:tab w:val="left" w:pos="360"/>
        </w:tabs>
        <w:suppressAutoHyphens w:val="0"/>
        <w:contextualSpacing/>
        <w:jc w:val="both"/>
        <w:rPr>
          <w:color w:val="000000"/>
          <w:lang w:eastAsia="en-US"/>
        </w:rPr>
      </w:pPr>
      <w:r w:rsidRPr="00A5537A">
        <w:rPr>
          <w:color w:val="000000"/>
          <w:lang w:eastAsia="en-US"/>
        </w:rPr>
        <w:t xml:space="preserve">The Panel is conscious that the </w:t>
      </w:r>
      <w:r w:rsidR="008E75E1" w:rsidRPr="00754DBD">
        <w:rPr>
          <w:lang w:eastAsia="en-US"/>
        </w:rPr>
        <w:t>abduction</w:t>
      </w:r>
      <w:r w:rsidRPr="00754DBD">
        <w:rPr>
          <w:lang w:eastAsia="en-US"/>
        </w:rPr>
        <w:t xml:space="preserve"> and </w:t>
      </w:r>
      <w:r w:rsidR="008E75E1" w:rsidRPr="00754DBD">
        <w:rPr>
          <w:lang w:eastAsia="en-US"/>
        </w:rPr>
        <w:t>killing</w:t>
      </w:r>
      <w:r w:rsidR="00003EE4" w:rsidRPr="00754DBD">
        <w:rPr>
          <w:color w:val="000000"/>
          <w:lang w:eastAsia="en-US"/>
        </w:rPr>
        <w:t xml:space="preserve"> of</w:t>
      </w:r>
      <w:r w:rsidRPr="00754DBD">
        <w:rPr>
          <w:color w:val="000000"/>
          <w:lang w:eastAsia="en-US"/>
        </w:rPr>
        <w:t xml:space="preserve">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t xml:space="preserve"> </w:t>
      </w:r>
      <w:r w:rsidRPr="00A5537A">
        <w:t xml:space="preserve">occurred shortly after the deployment of UNMIK in Kosovo in the immediate aftermath of the armed conflict, when crime, violence and insecurity were rife. </w:t>
      </w:r>
    </w:p>
    <w:p w:rsidR="00005EDC" w:rsidRPr="00A5537A" w:rsidRDefault="00005EDC" w:rsidP="00EC64DD">
      <w:pPr>
        <w:pStyle w:val="ListParagraph"/>
        <w:tabs>
          <w:tab w:val="left" w:pos="360"/>
        </w:tabs>
        <w:ind w:left="360" w:hanging="360"/>
        <w:jc w:val="both"/>
        <w:rPr>
          <w:color w:val="000000"/>
          <w:lang w:eastAsia="en-US"/>
        </w:rPr>
      </w:pPr>
    </w:p>
    <w:p w:rsidR="00003EE4" w:rsidRPr="00A5537A" w:rsidRDefault="00003EE4" w:rsidP="00EC64DD">
      <w:pPr>
        <w:pStyle w:val="ListParagraph"/>
        <w:numPr>
          <w:ilvl w:val="0"/>
          <w:numId w:val="5"/>
        </w:numPr>
        <w:tabs>
          <w:tab w:val="left" w:pos="360"/>
        </w:tabs>
        <w:suppressAutoHyphens w:val="0"/>
        <w:contextualSpacing/>
        <w:jc w:val="both"/>
        <w:rPr>
          <w:color w:val="000000"/>
          <w:lang w:eastAsia="en-US"/>
        </w:rPr>
      </w:pPr>
      <w:r w:rsidRPr="00A5537A">
        <w:t>On his part, the SRSG does not contest that UNMIK had a duty to investigate the present case under Article 2</w:t>
      </w:r>
      <w:r w:rsidR="006671A9" w:rsidRPr="00A5537A">
        <w:t xml:space="preserve"> of the ECHR</w:t>
      </w:r>
      <w:r w:rsidRPr="00A5537A">
        <w:t xml:space="preserve">.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005EDC" w:rsidRPr="00A5537A" w:rsidRDefault="00005EDC" w:rsidP="00EC64DD">
      <w:pPr>
        <w:pStyle w:val="ListParagraph"/>
        <w:tabs>
          <w:tab w:val="left" w:pos="360"/>
        </w:tabs>
        <w:ind w:left="360" w:hanging="360"/>
        <w:rPr>
          <w:color w:val="000000"/>
          <w:lang w:eastAsia="en-US"/>
        </w:rPr>
      </w:pPr>
    </w:p>
    <w:p w:rsidR="00003EE4" w:rsidRPr="00A5537A" w:rsidRDefault="00003EE4" w:rsidP="00EC64DD">
      <w:pPr>
        <w:pStyle w:val="ListParagraph"/>
        <w:numPr>
          <w:ilvl w:val="0"/>
          <w:numId w:val="5"/>
        </w:numPr>
        <w:tabs>
          <w:tab w:val="left" w:pos="360"/>
        </w:tabs>
        <w:suppressAutoHyphens w:val="0"/>
        <w:contextualSpacing/>
        <w:jc w:val="both"/>
        <w:rPr>
          <w:color w:val="000000"/>
          <w:lang w:eastAsia="en-US"/>
        </w:rPr>
      </w:pPr>
      <w:r w:rsidRPr="00A5537A">
        <w:rPr>
          <w:color w:val="000000"/>
          <w:lang w:eastAsia="en-US"/>
        </w:rPr>
        <w:t xml:space="preserve">The Panel </w:t>
      </w:r>
      <w:r w:rsidRPr="00A5537A">
        <w:t>considers</w:t>
      </w:r>
      <w:r w:rsidRPr="00A5537A">
        <w:rPr>
          <w:color w:val="000000"/>
          <w:lang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p>
    <w:p w:rsidR="00003EE4" w:rsidRPr="00A5537A" w:rsidRDefault="00003EE4" w:rsidP="00EC64DD">
      <w:pPr>
        <w:pStyle w:val="ListParagraph"/>
        <w:tabs>
          <w:tab w:val="left" w:pos="360"/>
        </w:tabs>
        <w:ind w:left="360" w:hanging="360"/>
        <w:rPr>
          <w:color w:val="000000"/>
          <w:lang w:eastAsia="en-US"/>
        </w:rPr>
      </w:pPr>
    </w:p>
    <w:p w:rsidR="00003EE4" w:rsidRPr="00A5537A" w:rsidRDefault="00003EE4" w:rsidP="00EC64DD">
      <w:pPr>
        <w:pStyle w:val="ListParagraph"/>
        <w:numPr>
          <w:ilvl w:val="0"/>
          <w:numId w:val="5"/>
        </w:numPr>
        <w:tabs>
          <w:tab w:val="left" w:pos="360"/>
        </w:tabs>
        <w:suppressAutoHyphens w:val="0"/>
        <w:contextualSpacing/>
        <w:jc w:val="both"/>
        <w:rPr>
          <w:color w:val="000000"/>
          <w:lang w:eastAsia="en-US"/>
        </w:rPr>
      </w:pPr>
      <w:r w:rsidRPr="00A5537A">
        <w:rPr>
          <w:color w:val="000000"/>
          <w:lang w:eastAsia="en-US"/>
        </w:rPr>
        <w:t xml:space="preserve">As regards the applicability of Article 2 to UNMIK, the Panel recalls </w:t>
      </w:r>
      <w:r w:rsidRPr="00A5537A">
        <w:rPr>
          <w:color w:val="000000"/>
          <w:lang w:eastAsia="nl-BE"/>
        </w:rPr>
        <w:t xml:space="preserve">that with the adoption of the UNMIK Regulation No. 1999/1 on 25 July 1999 UNMIK undertook an obligation to observe internationally recognised human rights standards in exercising its </w:t>
      </w:r>
      <w:r w:rsidRPr="00A5537A">
        <w:t>functions</w:t>
      </w:r>
      <w:r w:rsidRPr="00A5537A">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A5537A">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A5537A">
        <w:rPr>
          <w:i/>
        </w:rPr>
        <w:t>Milogorić</w:t>
      </w:r>
      <w:r w:rsidRPr="00A5537A">
        <w:t xml:space="preserve"> </w:t>
      </w:r>
      <w:r w:rsidRPr="00A5537A">
        <w:rPr>
          <w:i/>
        </w:rPr>
        <w:t>and Others,</w:t>
      </w:r>
      <w:r w:rsidR="009A1A66" w:rsidRPr="00A5537A">
        <w:t xml:space="preserve"> nos. 38/08 and others</w:t>
      </w:r>
      <w:r w:rsidRPr="00A5537A">
        <w:t xml:space="preserve">, opinion of 24 March 2011, § 44; </w:t>
      </w:r>
      <w:r w:rsidRPr="00A5537A">
        <w:rPr>
          <w:i/>
        </w:rPr>
        <w:t>Berisha and Others,</w:t>
      </w:r>
      <w:r w:rsidRPr="00A5537A">
        <w:t xml:space="preserve"> nos. 27/08 and others, opinion of 23 February 2011,</w:t>
      </w:r>
      <w:r w:rsidRPr="00A5537A">
        <w:rPr>
          <w:i/>
        </w:rPr>
        <w:t xml:space="preserve"> </w:t>
      </w:r>
      <w:r w:rsidRPr="00A5537A">
        <w:t xml:space="preserve">§ 25; </w:t>
      </w:r>
      <w:r w:rsidRPr="00A5537A">
        <w:rPr>
          <w:i/>
        </w:rPr>
        <w:t>Lalić and Others</w:t>
      </w:r>
      <w:r w:rsidRPr="00A5537A">
        <w:t>, nos. 09/08 and others, opinion of 9 June 2012, § 22).</w:t>
      </w:r>
    </w:p>
    <w:p w:rsidR="007C502D" w:rsidRPr="007C502D" w:rsidRDefault="007C502D" w:rsidP="007C502D">
      <w:pPr>
        <w:pStyle w:val="ListParagraph"/>
        <w:tabs>
          <w:tab w:val="left" w:pos="360"/>
        </w:tabs>
        <w:suppressAutoHyphens w:val="0"/>
        <w:ind w:left="360"/>
        <w:contextualSpacing/>
        <w:jc w:val="both"/>
        <w:rPr>
          <w:color w:val="000000"/>
          <w:lang w:eastAsia="en-US"/>
        </w:rPr>
      </w:pPr>
    </w:p>
    <w:p w:rsidR="00005EDC" w:rsidRPr="00A5537A" w:rsidRDefault="00005EDC" w:rsidP="00EC64DD">
      <w:pPr>
        <w:pStyle w:val="ListParagraph"/>
        <w:numPr>
          <w:ilvl w:val="0"/>
          <w:numId w:val="5"/>
        </w:numPr>
        <w:tabs>
          <w:tab w:val="left" w:pos="360"/>
        </w:tabs>
        <w:suppressAutoHyphens w:val="0"/>
        <w:contextualSpacing/>
        <w:jc w:val="both"/>
        <w:rPr>
          <w:color w:val="000000"/>
          <w:lang w:eastAsia="en-US"/>
        </w:rPr>
      </w:pPr>
      <w:r w:rsidRPr="00A5537A">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A5537A">
        <w:rPr>
          <w:color w:val="000000"/>
          <w:lang w:val="en-GB" w:eastAsia="en-US"/>
        </w:rPr>
        <w:t>Yugoslavia</w:t>
      </w:r>
      <w:r w:rsidRPr="00A5537A">
        <w:t xml:space="preserve"> (see, among other examples, ECtHR, </w:t>
      </w:r>
      <w:r w:rsidRPr="00A5537A">
        <w:rPr>
          <w:i/>
        </w:rPr>
        <w:t>Palić v. Bosnia and Herzegovina,</w:t>
      </w:r>
      <w:r w:rsidRPr="00A5537A">
        <w:t xml:space="preserve"> </w:t>
      </w:r>
      <w:r w:rsidR="00437834" w:rsidRPr="00A5537A">
        <w:t xml:space="preserve">cited in § </w:t>
      </w:r>
      <w:r w:rsidR="0010066F">
        <w:fldChar w:fldCharType="begin"/>
      </w:r>
      <w:r w:rsidR="00754DBD">
        <w:instrText xml:space="preserve"> REF _Ref358368767 \r \h </w:instrText>
      </w:r>
      <w:r w:rsidR="0010066F">
        <w:fldChar w:fldCharType="separate"/>
      </w:r>
      <w:r w:rsidR="00CD6AC2">
        <w:t>66</w:t>
      </w:r>
      <w:r w:rsidR="0010066F">
        <w:fldChar w:fldCharType="end"/>
      </w:r>
      <w:r w:rsidR="00437834" w:rsidRPr="00A5537A">
        <w:t xml:space="preserve"> above</w:t>
      </w:r>
      <w:r w:rsidRPr="00A5537A">
        <w:t xml:space="preserve">, and </w:t>
      </w:r>
      <w:proofErr w:type="spellStart"/>
      <w:r w:rsidRPr="00A5537A">
        <w:t>ECtHR</w:t>
      </w:r>
      <w:proofErr w:type="spellEnd"/>
      <w:r w:rsidRPr="00A5537A">
        <w:t xml:space="preserve">, </w:t>
      </w:r>
      <w:proofErr w:type="spellStart"/>
      <w:r w:rsidRPr="00A5537A">
        <w:rPr>
          <w:i/>
        </w:rPr>
        <w:t>Jularić</w:t>
      </w:r>
      <w:proofErr w:type="spellEnd"/>
      <w:r w:rsidRPr="00A5537A">
        <w:rPr>
          <w:i/>
        </w:rPr>
        <w:t xml:space="preserve"> v. Croatia</w:t>
      </w:r>
      <w:r w:rsidRPr="00A5537A">
        <w:t xml:space="preserve">, no. 20106/06, judgment of 20 January 2011). The Court has further held that that the procedural obligation under Article 2 continues to apply in “difficult security conditions, including in a context of armed conflict” (see </w:t>
      </w:r>
      <w:r w:rsidRPr="00A5537A">
        <w:rPr>
          <w:lang w:eastAsia="en-US"/>
        </w:rPr>
        <w:t xml:space="preserve">ECtHR </w:t>
      </w:r>
      <w:r w:rsidR="00FF43CB" w:rsidRPr="00A5537A">
        <w:rPr>
          <w:lang w:eastAsia="en-US"/>
        </w:rPr>
        <w:t>[GC]</w:t>
      </w:r>
      <w:r w:rsidRPr="00A5537A">
        <w:rPr>
          <w:lang w:eastAsia="en-US"/>
        </w:rPr>
        <w:t xml:space="preserve">, </w:t>
      </w:r>
      <w:r w:rsidRPr="00A5537A">
        <w:rPr>
          <w:i/>
          <w:lang w:eastAsia="en-US"/>
        </w:rPr>
        <w:t xml:space="preserve">Al-Skeini and Others v. </w:t>
      </w:r>
      <w:r w:rsidR="00AD46F6" w:rsidRPr="00A5537A">
        <w:rPr>
          <w:i/>
          <w:lang w:eastAsia="en-US"/>
        </w:rPr>
        <w:t xml:space="preserve">the </w:t>
      </w:r>
      <w:r w:rsidRPr="00A5537A">
        <w:rPr>
          <w:i/>
          <w:lang w:eastAsia="en-US"/>
        </w:rPr>
        <w:t>United Kingdom</w:t>
      </w:r>
      <w:r w:rsidRPr="00A5537A">
        <w:rPr>
          <w:lang w:eastAsia="en-US"/>
        </w:rPr>
        <w:t xml:space="preserve">, cited </w:t>
      </w:r>
      <w:r w:rsidR="0075125C" w:rsidRPr="00A5537A">
        <w:rPr>
          <w:lang w:eastAsia="en-US"/>
        </w:rPr>
        <w:t xml:space="preserve">in § </w:t>
      </w:r>
      <w:r w:rsidR="0010066F">
        <w:rPr>
          <w:lang w:eastAsia="en-US"/>
        </w:rPr>
        <w:fldChar w:fldCharType="begin"/>
      </w:r>
      <w:r w:rsidR="00754DBD">
        <w:rPr>
          <w:lang w:eastAsia="en-US"/>
        </w:rPr>
        <w:instrText xml:space="preserve"> REF _Ref358368789 \r \h </w:instrText>
      </w:r>
      <w:r w:rsidR="0010066F">
        <w:rPr>
          <w:lang w:eastAsia="en-US"/>
        </w:rPr>
      </w:r>
      <w:r w:rsidR="0010066F">
        <w:rPr>
          <w:lang w:eastAsia="en-US"/>
        </w:rPr>
        <w:fldChar w:fldCharType="separate"/>
      </w:r>
      <w:r w:rsidR="00CD6AC2">
        <w:rPr>
          <w:lang w:eastAsia="en-US"/>
        </w:rPr>
        <w:t>69</w:t>
      </w:r>
      <w:r w:rsidR="0010066F">
        <w:rPr>
          <w:lang w:eastAsia="en-US"/>
        </w:rPr>
        <w:fldChar w:fldCharType="end"/>
      </w:r>
      <w:r w:rsidR="0075125C" w:rsidRPr="00A5537A">
        <w:rPr>
          <w:lang w:eastAsia="en-US"/>
        </w:rPr>
        <w:t xml:space="preserve"> </w:t>
      </w:r>
      <w:r w:rsidRPr="00A5537A">
        <w:rPr>
          <w:lang w:eastAsia="en-US"/>
        </w:rPr>
        <w:t>above</w:t>
      </w:r>
      <w:r w:rsidR="009A1A66" w:rsidRPr="00A5537A">
        <w:rPr>
          <w:lang w:eastAsia="en-US"/>
        </w:rPr>
        <w:t>, at</w:t>
      </w:r>
      <w:r w:rsidRPr="00A5537A">
        <w:rPr>
          <w:lang w:eastAsia="en-US"/>
        </w:rPr>
        <w:t xml:space="preserve"> § 164; see also ECtHR, </w:t>
      </w:r>
      <w:r w:rsidRPr="00A5537A">
        <w:rPr>
          <w:i/>
          <w:lang w:eastAsia="en-US"/>
        </w:rPr>
        <w:t>Güleç v. Turkey</w:t>
      </w:r>
      <w:r w:rsidRPr="00A5537A">
        <w:rPr>
          <w:lang w:eastAsia="en-US"/>
        </w:rPr>
        <w:t>, judgment of 27 July 1998, § 81,</w:t>
      </w:r>
      <w:r w:rsidRPr="00A5537A">
        <w:t xml:space="preserve"> </w:t>
      </w:r>
      <w:r w:rsidR="0075125C" w:rsidRPr="00A5537A">
        <w:t xml:space="preserve">Reports </w:t>
      </w:r>
      <w:r w:rsidRPr="00A5537A">
        <w:rPr>
          <w:lang w:eastAsia="en-US"/>
        </w:rPr>
        <w:t>1998</w:t>
      </w:r>
      <w:r w:rsidR="0075125C" w:rsidRPr="00A5537A">
        <w:rPr>
          <w:lang w:eastAsia="en-US"/>
        </w:rPr>
        <w:t>-</w:t>
      </w:r>
      <w:r w:rsidRPr="00A5537A">
        <w:rPr>
          <w:lang w:eastAsia="en-US"/>
        </w:rPr>
        <w:t>IV; ECtHR,</w:t>
      </w:r>
      <w:r w:rsidRPr="00A5537A">
        <w:rPr>
          <w:i/>
          <w:lang w:eastAsia="en-US"/>
        </w:rPr>
        <w:t xml:space="preserve"> Ergi v. Turkey</w:t>
      </w:r>
      <w:r w:rsidRPr="00A5537A">
        <w:rPr>
          <w:lang w:eastAsia="en-US"/>
        </w:rPr>
        <w:t>, judgment of 28 July 1998, §§ 79 and 82</w:t>
      </w:r>
      <w:r w:rsidR="00674233" w:rsidRPr="00A5537A">
        <w:rPr>
          <w:lang w:eastAsia="en-US"/>
        </w:rPr>
        <w:t>,</w:t>
      </w:r>
      <w:r w:rsidRPr="00A5537A">
        <w:rPr>
          <w:lang w:eastAsia="en-US"/>
        </w:rPr>
        <w:t xml:space="preserve"> </w:t>
      </w:r>
      <w:r w:rsidR="0075125C" w:rsidRPr="00A5537A">
        <w:rPr>
          <w:lang w:eastAsia="en-US"/>
        </w:rPr>
        <w:t>Reports 1</w:t>
      </w:r>
      <w:r w:rsidRPr="00A5537A">
        <w:rPr>
          <w:lang w:eastAsia="en-US"/>
        </w:rPr>
        <w:t>998</w:t>
      </w:r>
      <w:r w:rsidR="0075125C" w:rsidRPr="00A5537A">
        <w:rPr>
          <w:lang w:eastAsia="en-US"/>
        </w:rPr>
        <w:t>-</w:t>
      </w:r>
      <w:r w:rsidRPr="00A5537A">
        <w:rPr>
          <w:lang w:eastAsia="en-US"/>
        </w:rPr>
        <w:t>IV; ECtHR,</w:t>
      </w:r>
      <w:r w:rsidRPr="00A5537A">
        <w:rPr>
          <w:i/>
          <w:lang w:eastAsia="en-US"/>
        </w:rPr>
        <w:t xml:space="preserve"> Ahmet Özkan and Others v. Turkey</w:t>
      </w:r>
      <w:r w:rsidRPr="00A5537A">
        <w:rPr>
          <w:lang w:eastAsia="en-US"/>
        </w:rPr>
        <w:t xml:space="preserve">, </w:t>
      </w:r>
      <w:r w:rsidR="00FF43CB" w:rsidRPr="00A5537A">
        <w:t xml:space="preserve">cited in § </w:t>
      </w:r>
      <w:r w:rsidR="0010066F">
        <w:fldChar w:fldCharType="begin"/>
      </w:r>
      <w:r w:rsidR="00650275">
        <w:instrText xml:space="preserve"> REF _Ref358368868 \r \h </w:instrText>
      </w:r>
      <w:r w:rsidR="0010066F">
        <w:fldChar w:fldCharType="separate"/>
      </w:r>
      <w:r w:rsidR="00CD6AC2">
        <w:t>65</w:t>
      </w:r>
      <w:r w:rsidR="0010066F">
        <w:fldChar w:fldCharType="end"/>
      </w:r>
      <w:r w:rsidR="00FF43CB" w:rsidRPr="00A5537A">
        <w:t xml:space="preserve"> above, at </w:t>
      </w:r>
      <w:r w:rsidRPr="00A5537A">
        <w:rPr>
          <w:lang w:eastAsia="en-US"/>
        </w:rPr>
        <w:t>§§ 85-90</w:t>
      </w:r>
      <w:r w:rsidR="0075125C" w:rsidRPr="00A5537A">
        <w:rPr>
          <w:lang w:eastAsia="en-US"/>
        </w:rPr>
        <w:t>,</w:t>
      </w:r>
      <w:r w:rsidRPr="00A5537A">
        <w:rPr>
          <w:lang w:eastAsia="en-US"/>
        </w:rPr>
        <w:t xml:space="preserve"> 309-320</w:t>
      </w:r>
      <w:r w:rsidR="0075125C" w:rsidRPr="00A5537A">
        <w:rPr>
          <w:lang w:eastAsia="en-US"/>
        </w:rPr>
        <w:t xml:space="preserve"> a</w:t>
      </w:r>
      <w:r w:rsidRPr="00A5537A">
        <w:rPr>
          <w:lang w:eastAsia="en-US"/>
        </w:rPr>
        <w:t>nd 326-330;</w:t>
      </w:r>
      <w:r w:rsidRPr="00A5537A">
        <w:rPr>
          <w:i/>
          <w:lang w:eastAsia="en-US"/>
        </w:rPr>
        <w:t xml:space="preserve"> Isayeva v. Russia</w:t>
      </w:r>
      <w:r w:rsidRPr="00A5537A">
        <w:rPr>
          <w:lang w:eastAsia="en-US"/>
        </w:rPr>
        <w:t xml:space="preserve">, </w:t>
      </w:r>
      <w:r w:rsidR="005200EF" w:rsidRPr="00A5537A">
        <w:rPr>
          <w:lang w:eastAsia="en-US"/>
        </w:rPr>
        <w:t>cited</w:t>
      </w:r>
      <w:r w:rsidR="001D7C7D" w:rsidRPr="00A5537A">
        <w:rPr>
          <w:lang w:eastAsia="en-US"/>
        </w:rPr>
        <w:t xml:space="preserve"> in</w:t>
      </w:r>
      <w:r w:rsidR="00437834" w:rsidRPr="00A5537A">
        <w:t xml:space="preserve"> § </w:t>
      </w:r>
      <w:r w:rsidR="0010066F">
        <w:fldChar w:fldCharType="begin"/>
      </w:r>
      <w:r w:rsidR="00754DBD">
        <w:instrText xml:space="preserve"> REF _Ref358368868 \r \h </w:instrText>
      </w:r>
      <w:r w:rsidR="0010066F">
        <w:fldChar w:fldCharType="separate"/>
      </w:r>
      <w:r w:rsidR="00CD6AC2">
        <w:t>65</w:t>
      </w:r>
      <w:r w:rsidR="0010066F">
        <w:fldChar w:fldCharType="end"/>
      </w:r>
      <w:r w:rsidR="00754DBD">
        <w:t xml:space="preserve"> </w:t>
      </w:r>
      <w:r w:rsidR="00437834" w:rsidRPr="00A5537A">
        <w:t xml:space="preserve">above, at </w:t>
      </w:r>
      <w:r w:rsidRPr="00A5537A">
        <w:rPr>
          <w:lang w:eastAsia="en-US"/>
        </w:rPr>
        <w:t xml:space="preserve">§§ 180 and 210; ECtHR, </w:t>
      </w:r>
      <w:r w:rsidRPr="00A5537A">
        <w:rPr>
          <w:i/>
          <w:lang w:eastAsia="en-US"/>
        </w:rPr>
        <w:t>Kanlibaş v. Turkey</w:t>
      </w:r>
      <w:r w:rsidRPr="00A5537A">
        <w:rPr>
          <w:lang w:eastAsia="en-US"/>
        </w:rPr>
        <w:t>, no. 32444/96, judgment of 8 December 2005, §§ 39-51)</w:t>
      </w:r>
      <w:r w:rsidRPr="00A5537A">
        <w:t xml:space="preserve">. </w:t>
      </w:r>
    </w:p>
    <w:p w:rsidR="00005EDC" w:rsidRPr="00A5537A" w:rsidRDefault="00005EDC" w:rsidP="00EC64DD">
      <w:pPr>
        <w:pStyle w:val="ListParagraph"/>
        <w:tabs>
          <w:tab w:val="left" w:pos="360"/>
        </w:tabs>
        <w:ind w:left="360" w:hanging="360"/>
      </w:pPr>
    </w:p>
    <w:p w:rsidR="00005EDC" w:rsidRPr="00A5537A" w:rsidRDefault="00005EDC" w:rsidP="00EC64DD">
      <w:pPr>
        <w:pStyle w:val="ListParagraph"/>
        <w:numPr>
          <w:ilvl w:val="0"/>
          <w:numId w:val="5"/>
        </w:numPr>
        <w:tabs>
          <w:tab w:val="left" w:pos="360"/>
        </w:tabs>
        <w:suppressAutoHyphens w:val="0"/>
        <w:contextualSpacing/>
        <w:jc w:val="both"/>
        <w:rPr>
          <w:color w:val="000000"/>
          <w:lang w:eastAsia="en-US"/>
        </w:rPr>
      </w:pPr>
      <w:r w:rsidRPr="00A5537A">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A5537A">
        <w:rPr>
          <w:lang w:eastAsia="en-US"/>
        </w:rPr>
        <w:t xml:space="preserve">use of </w:t>
      </w:r>
      <w:r w:rsidRPr="00A5537A">
        <w:t xml:space="preserve">less effective measures of investigation or may cause an investigation to be delayed” (see, </w:t>
      </w:r>
      <w:r w:rsidRPr="00A5537A">
        <w:rPr>
          <w:lang w:eastAsia="en-US"/>
        </w:rPr>
        <w:t>ECtHR</w:t>
      </w:r>
      <w:r w:rsidR="00FF43CB" w:rsidRPr="00A5537A">
        <w:rPr>
          <w:lang w:eastAsia="en-US"/>
        </w:rPr>
        <w:t xml:space="preserve"> [GC]</w:t>
      </w:r>
      <w:r w:rsidRPr="00A5537A">
        <w:rPr>
          <w:lang w:eastAsia="en-US"/>
        </w:rPr>
        <w:t xml:space="preserve">, </w:t>
      </w:r>
      <w:r w:rsidRPr="00A5537A">
        <w:rPr>
          <w:i/>
          <w:lang w:eastAsia="en-US"/>
        </w:rPr>
        <w:t xml:space="preserve">Al-Skeini and Others v. the United Kingdom, </w:t>
      </w:r>
      <w:r w:rsidRPr="00A5537A">
        <w:rPr>
          <w:lang w:eastAsia="en-US"/>
        </w:rPr>
        <w:t>cited</w:t>
      </w:r>
      <w:r w:rsidR="00754DBD">
        <w:rPr>
          <w:lang w:eastAsia="en-US"/>
        </w:rPr>
        <w:t xml:space="preserve"> in § </w:t>
      </w:r>
      <w:r w:rsidR="0010066F">
        <w:rPr>
          <w:lang w:eastAsia="en-US"/>
        </w:rPr>
        <w:fldChar w:fldCharType="begin"/>
      </w:r>
      <w:r w:rsidR="00754DBD">
        <w:rPr>
          <w:lang w:eastAsia="en-US"/>
        </w:rPr>
        <w:instrText xml:space="preserve"> REF _Ref358368789 \r \h </w:instrText>
      </w:r>
      <w:r w:rsidR="0010066F">
        <w:rPr>
          <w:lang w:eastAsia="en-US"/>
        </w:rPr>
      </w:r>
      <w:r w:rsidR="0010066F">
        <w:rPr>
          <w:lang w:eastAsia="en-US"/>
        </w:rPr>
        <w:fldChar w:fldCharType="separate"/>
      </w:r>
      <w:r w:rsidR="00CD6AC2">
        <w:rPr>
          <w:lang w:eastAsia="en-US"/>
        </w:rPr>
        <w:t>69</w:t>
      </w:r>
      <w:r w:rsidR="0010066F">
        <w:rPr>
          <w:lang w:eastAsia="en-US"/>
        </w:rPr>
        <w:fldChar w:fldCharType="end"/>
      </w:r>
      <w:r w:rsidR="00FF43CB" w:rsidRPr="00A5537A">
        <w:rPr>
          <w:lang w:eastAsia="en-US"/>
        </w:rPr>
        <w:t xml:space="preserve"> above, at</w:t>
      </w:r>
      <w:r w:rsidRPr="00A5537A">
        <w:rPr>
          <w:lang w:eastAsia="en-US"/>
        </w:rPr>
        <w:t xml:space="preserve"> §164;</w:t>
      </w:r>
      <w:r w:rsidRPr="00A5537A">
        <w:rPr>
          <w:i/>
          <w:lang w:eastAsia="en-US"/>
        </w:rPr>
        <w:t xml:space="preserve"> </w:t>
      </w:r>
      <w:r w:rsidRPr="00A5537A">
        <w:rPr>
          <w:lang w:eastAsia="en-US"/>
        </w:rPr>
        <w:t>ECtHR,</w:t>
      </w:r>
      <w:r w:rsidRPr="00A5537A">
        <w:rPr>
          <w:i/>
          <w:lang w:eastAsia="en-US"/>
        </w:rPr>
        <w:t xml:space="preserve"> Bazorkina v. Russia</w:t>
      </w:r>
      <w:r w:rsidRPr="00A5537A">
        <w:rPr>
          <w:lang w:eastAsia="en-US"/>
        </w:rPr>
        <w:t>, no. 69481/01, judgment of 27 July 2006, § 121)</w:t>
      </w:r>
      <w:r w:rsidRPr="00A5537A">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r w:rsidR="00FF43CB" w:rsidRPr="00A5537A">
        <w:t xml:space="preserve">ECtHR, </w:t>
      </w:r>
      <w:r w:rsidRPr="00A5537A">
        <w:rPr>
          <w:i/>
          <w:lang w:eastAsia="en-US"/>
        </w:rPr>
        <w:t>Kaya v. Turkey</w:t>
      </w:r>
      <w:r w:rsidRPr="00A5537A">
        <w:rPr>
          <w:lang w:eastAsia="en-US"/>
        </w:rPr>
        <w:t xml:space="preserve">, cited </w:t>
      </w:r>
      <w:r w:rsidR="005A7910" w:rsidRPr="00A5537A">
        <w:rPr>
          <w:lang w:eastAsia="en-US"/>
        </w:rPr>
        <w:t xml:space="preserve">in </w:t>
      </w:r>
      <w:r w:rsidRPr="00A5537A">
        <w:rPr>
          <w:lang w:eastAsia="en-US"/>
        </w:rPr>
        <w:t xml:space="preserve">§ </w:t>
      </w:r>
      <w:r w:rsidR="0010066F">
        <w:rPr>
          <w:lang w:eastAsia="en-US"/>
        </w:rPr>
        <w:fldChar w:fldCharType="begin"/>
      </w:r>
      <w:r w:rsidR="00754DBD">
        <w:rPr>
          <w:lang w:eastAsia="en-US"/>
        </w:rPr>
        <w:instrText xml:space="preserve"> REF _Ref358368938 \r \h </w:instrText>
      </w:r>
      <w:r w:rsidR="0010066F">
        <w:rPr>
          <w:lang w:eastAsia="en-US"/>
        </w:rPr>
      </w:r>
      <w:r w:rsidR="0010066F">
        <w:rPr>
          <w:lang w:eastAsia="en-US"/>
        </w:rPr>
        <w:fldChar w:fldCharType="separate"/>
      </w:r>
      <w:r w:rsidR="00CD6AC2">
        <w:rPr>
          <w:lang w:eastAsia="en-US"/>
        </w:rPr>
        <w:t>63</w:t>
      </w:r>
      <w:r w:rsidR="0010066F">
        <w:rPr>
          <w:lang w:eastAsia="en-US"/>
        </w:rPr>
        <w:fldChar w:fldCharType="end"/>
      </w:r>
      <w:r w:rsidR="00FF43CB" w:rsidRPr="00A5537A">
        <w:rPr>
          <w:lang w:eastAsia="en-US"/>
        </w:rPr>
        <w:t xml:space="preserve"> </w:t>
      </w:r>
      <w:r w:rsidRPr="00A5537A">
        <w:rPr>
          <w:lang w:eastAsia="en-US"/>
        </w:rPr>
        <w:t xml:space="preserve">above, </w:t>
      </w:r>
      <w:r w:rsidR="00FF43CB" w:rsidRPr="00A5537A">
        <w:rPr>
          <w:lang w:eastAsia="en-US"/>
        </w:rPr>
        <w:t xml:space="preserve">at </w:t>
      </w:r>
      <w:r w:rsidRPr="00A5537A">
        <w:rPr>
          <w:lang w:eastAsia="en-US"/>
        </w:rPr>
        <w:t>§§ 86</w:t>
      </w:r>
      <w:r w:rsidRPr="00A5537A">
        <w:rPr>
          <w:lang w:eastAsia="en-US"/>
        </w:rPr>
        <w:noBreakHyphen/>
        <w:t xml:space="preserve">92; </w:t>
      </w:r>
      <w:r w:rsidR="00FF43CB" w:rsidRPr="00A5537A">
        <w:rPr>
          <w:lang w:eastAsia="en-US"/>
        </w:rPr>
        <w:t xml:space="preserve">ECtHR, </w:t>
      </w:r>
      <w:r w:rsidRPr="00A5537A">
        <w:rPr>
          <w:i/>
          <w:lang w:eastAsia="en-US"/>
        </w:rPr>
        <w:t xml:space="preserve">Ergi, </w:t>
      </w:r>
      <w:r w:rsidRPr="00A5537A">
        <w:rPr>
          <w:lang w:eastAsia="en-US"/>
        </w:rPr>
        <w:t xml:space="preserve">cited </w:t>
      </w:r>
      <w:r w:rsidR="00FF43CB" w:rsidRPr="00A5537A">
        <w:rPr>
          <w:lang w:eastAsia="en-US"/>
        </w:rPr>
        <w:t>abov</w:t>
      </w:r>
      <w:r w:rsidRPr="00A5537A">
        <w:rPr>
          <w:lang w:eastAsia="en-US"/>
        </w:rPr>
        <w:t xml:space="preserve">e, </w:t>
      </w:r>
      <w:r w:rsidR="00FF43CB" w:rsidRPr="00A5537A">
        <w:rPr>
          <w:lang w:eastAsia="en-US"/>
        </w:rPr>
        <w:t xml:space="preserve">at </w:t>
      </w:r>
      <w:r w:rsidRPr="00A5537A">
        <w:rPr>
          <w:lang w:eastAsia="en-US"/>
        </w:rPr>
        <w:t xml:space="preserve">§§ 82-85; </w:t>
      </w:r>
      <w:r w:rsidR="00FF43CB" w:rsidRPr="00A5537A">
        <w:rPr>
          <w:lang w:eastAsia="en-US"/>
        </w:rPr>
        <w:t xml:space="preserve">ECtHR [GC], </w:t>
      </w:r>
      <w:r w:rsidRPr="00A5537A">
        <w:rPr>
          <w:i/>
          <w:lang w:eastAsia="en-US"/>
        </w:rPr>
        <w:t>Tanrıkulu v. Turkey</w:t>
      </w:r>
      <w:r w:rsidRPr="00A5537A">
        <w:rPr>
          <w:lang w:eastAsia="en-US"/>
        </w:rPr>
        <w:t>, no. 23763/94, judgment of 8 July 1999, §§ 101-110</w:t>
      </w:r>
      <w:r w:rsidR="00FF43CB" w:rsidRPr="00A5537A">
        <w:rPr>
          <w:lang w:eastAsia="en-US"/>
        </w:rPr>
        <w:t>, ECHR 1999-IV</w:t>
      </w:r>
      <w:r w:rsidRPr="00A5537A">
        <w:rPr>
          <w:lang w:eastAsia="en-US"/>
        </w:rPr>
        <w:t xml:space="preserve">; </w:t>
      </w:r>
      <w:r w:rsidR="00FF43CB" w:rsidRPr="00A5537A">
        <w:rPr>
          <w:lang w:eastAsia="en-US"/>
        </w:rPr>
        <w:t xml:space="preserve">ECtHR, </w:t>
      </w:r>
      <w:r w:rsidRPr="00A5537A">
        <w:rPr>
          <w:i/>
          <w:lang w:eastAsia="en-US"/>
        </w:rPr>
        <w:t>Khashiyev and Akayeva v. Russia</w:t>
      </w:r>
      <w:r w:rsidRPr="00A5537A">
        <w:rPr>
          <w:lang w:eastAsia="en-US"/>
        </w:rPr>
        <w:t xml:space="preserve">, nos. 57942/00 and 57945/00, judgment of 24 February 2005, §§ 156-166; </w:t>
      </w:r>
      <w:r w:rsidR="00FF43CB" w:rsidRPr="00A5537A">
        <w:rPr>
          <w:lang w:eastAsia="en-US"/>
        </w:rPr>
        <w:t xml:space="preserve">ECtHR, </w:t>
      </w:r>
      <w:r w:rsidRPr="00A5537A">
        <w:rPr>
          <w:i/>
          <w:lang w:eastAsia="en-US"/>
        </w:rPr>
        <w:t>Isayeva</w:t>
      </w:r>
      <w:r w:rsidR="00FF43CB" w:rsidRPr="00A5537A">
        <w:rPr>
          <w:i/>
          <w:lang w:eastAsia="en-US"/>
        </w:rPr>
        <w:t xml:space="preserve"> v. Russia</w:t>
      </w:r>
      <w:r w:rsidRPr="00A5537A">
        <w:rPr>
          <w:lang w:eastAsia="en-US"/>
        </w:rPr>
        <w:t xml:space="preserve">, </w:t>
      </w:r>
      <w:r w:rsidR="005200EF" w:rsidRPr="00A5537A">
        <w:t xml:space="preserve">cited </w:t>
      </w:r>
      <w:r w:rsidR="00C81172" w:rsidRPr="00A5537A">
        <w:rPr>
          <w:color w:val="000000"/>
        </w:rPr>
        <w:t xml:space="preserve">in § </w:t>
      </w:r>
      <w:r w:rsidR="0010066F">
        <w:rPr>
          <w:color w:val="000000"/>
        </w:rPr>
        <w:fldChar w:fldCharType="begin"/>
      </w:r>
      <w:r w:rsidR="00754DBD">
        <w:rPr>
          <w:color w:val="000000"/>
        </w:rPr>
        <w:instrText xml:space="preserve"> REF _Ref358368868 \r \h </w:instrText>
      </w:r>
      <w:r w:rsidR="0010066F">
        <w:rPr>
          <w:color w:val="000000"/>
        </w:rPr>
      </w:r>
      <w:r w:rsidR="0010066F">
        <w:rPr>
          <w:color w:val="000000"/>
        </w:rPr>
        <w:fldChar w:fldCharType="separate"/>
      </w:r>
      <w:r w:rsidR="00CD6AC2">
        <w:rPr>
          <w:color w:val="000000"/>
        </w:rPr>
        <w:t>65</w:t>
      </w:r>
      <w:r w:rsidR="0010066F">
        <w:rPr>
          <w:color w:val="000000"/>
        </w:rPr>
        <w:fldChar w:fldCharType="end"/>
      </w:r>
      <w:r w:rsidR="00C81172" w:rsidRPr="00A5537A">
        <w:rPr>
          <w:color w:val="000000"/>
        </w:rPr>
        <w:t xml:space="preserve"> </w:t>
      </w:r>
      <w:r w:rsidR="00437834" w:rsidRPr="00A5537A">
        <w:t xml:space="preserve">above, at </w:t>
      </w:r>
      <w:r w:rsidRPr="00A5537A">
        <w:rPr>
          <w:lang w:eastAsia="en-US"/>
        </w:rPr>
        <w:t>§§ 215</w:t>
      </w:r>
      <w:r w:rsidRPr="00A5537A">
        <w:rPr>
          <w:lang w:eastAsia="en-US"/>
        </w:rPr>
        <w:noBreakHyphen/>
        <w:t xml:space="preserve">224; </w:t>
      </w:r>
      <w:r w:rsidR="00FF43CB" w:rsidRPr="00A5537A">
        <w:rPr>
          <w:lang w:eastAsia="en-US"/>
        </w:rPr>
        <w:t xml:space="preserve">ECtHR, </w:t>
      </w:r>
      <w:r w:rsidRPr="00A5537A">
        <w:rPr>
          <w:i/>
          <w:lang w:eastAsia="en-US"/>
        </w:rPr>
        <w:t>Musayev and Others v. Russia</w:t>
      </w:r>
      <w:r w:rsidRPr="00A5537A">
        <w:rPr>
          <w:lang w:eastAsia="en-US"/>
        </w:rPr>
        <w:t>, nos. 57941/00</w:t>
      </w:r>
      <w:r w:rsidR="00FF43CB" w:rsidRPr="00A5537A">
        <w:rPr>
          <w:lang w:eastAsia="en-US"/>
        </w:rPr>
        <w:t xml:space="preserve"> and others</w:t>
      </w:r>
      <w:r w:rsidRPr="00A5537A">
        <w:rPr>
          <w:lang w:eastAsia="en-US"/>
        </w:rPr>
        <w:t xml:space="preserve">, judgment of 26 July 2007, §§ 158-165). </w:t>
      </w:r>
    </w:p>
    <w:p w:rsidR="00005EDC" w:rsidRPr="00A5537A" w:rsidRDefault="00005EDC" w:rsidP="00EC64DD">
      <w:pPr>
        <w:pStyle w:val="ListParagraph"/>
        <w:tabs>
          <w:tab w:val="left" w:pos="360"/>
        </w:tabs>
        <w:ind w:left="360" w:hanging="360"/>
        <w:jc w:val="both"/>
        <w:rPr>
          <w:color w:val="000000"/>
          <w:lang w:eastAsia="en-US"/>
        </w:rPr>
      </w:pPr>
    </w:p>
    <w:p w:rsidR="00005EDC" w:rsidRPr="00A5537A" w:rsidRDefault="00005EDC" w:rsidP="00EC64DD">
      <w:pPr>
        <w:pStyle w:val="ListParagraph"/>
        <w:numPr>
          <w:ilvl w:val="0"/>
          <w:numId w:val="5"/>
        </w:numPr>
        <w:tabs>
          <w:tab w:val="left" w:pos="360"/>
        </w:tabs>
        <w:suppressAutoHyphens w:val="0"/>
        <w:contextualSpacing/>
        <w:jc w:val="both"/>
        <w:rPr>
          <w:i/>
          <w:color w:val="000000"/>
          <w:lang w:eastAsia="en-US"/>
        </w:rPr>
      </w:pPr>
      <w:r w:rsidRPr="00A5537A">
        <w:rPr>
          <w:color w:val="000000"/>
          <w:lang w:eastAsia="en-US"/>
        </w:rPr>
        <w:t xml:space="preserve">Similarly, the HRC has held that the right to life, including its procedural guarantees, shall be considered as the supreme right from which no derogation is </w:t>
      </w:r>
      <w:r w:rsidRPr="00A5537A">
        <w:t>permitted</w:t>
      </w:r>
      <w:r w:rsidRPr="00A5537A">
        <w:rPr>
          <w:color w:val="000000"/>
          <w:lang w:eastAsia="en-US"/>
        </w:rPr>
        <w:t xml:space="preserve"> even in time of public emergency which threatens the life of the nation (see, HRC, General Comment No. 6, cited </w:t>
      </w:r>
      <w:r w:rsidR="00C81172" w:rsidRPr="00A5537A">
        <w:rPr>
          <w:color w:val="000000"/>
          <w:lang w:eastAsia="en-US"/>
        </w:rPr>
        <w:t xml:space="preserve">in § </w:t>
      </w:r>
      <w:r w:rsidR="0010066F">
        <w:fldChar w:fldCharType="begin"/>
      </w:r>
      <w:r w:rsidR="00E061C8">
        <w:rPr>
          <w:color w:val="000000"/>
          <w:lang w:eastAsia="en-US"/>
        </w:rPr>
        <w:instrText xml:space="preserve"> REF _Ref358375480 \r \h </w:instrText>
      </w:r>
      <w:r w:rsidR="0010066F">
        <w:fldChar w:fldCharType="separate"/>
      </w:r>
      <w:r w:rsidR="00CD6AC2">
        <w:rPr>
          <w:color w:val="000000"/>
          <w:lang w:eastAsia="en-US"/>
        </w:rPr>
        <w:t>62</w:t>
      </w:r>
      <w:r w:rsidR="0010066F">
        <w:fldChar w:fldCharType="end"/>
      </w:r>
      <w:r w:rsidR="00C81172" w:rsidRPr="00A5537A">
        <w:rPr>
          <w:color w:val="000000"/>
          <w:lang w:eastAsia="en-US"/>
        </w:rPr>
        <w:t xml:space="preserve"> </w:t>
      </w:r>
      <w:r w:rsidRPr="00A5537A">
        <w:rPr>
          <w:color w:val="000000"/>
          <w:lang w:eastAsia="en-US"/>
        </w:rPr>
        <w:t xml:space="preserve">above, </w:t>
      </w:r>
      <w:r w:rsidR="00C81172" w:rsidRPr="00A5537A">
        <w:rPr>
          <w:color w:val="000000"/>
          <w:lang w:eastAsia="en-US"/>
        </w:rPr>
        <w:t xml:space="preserve">at </w:t>
      </w:r>
      <w:r w:rsidRPr="00A5537A">
        <w:rPr>
          <w:color w:val="000000"/>
          <w:lang w:eastAsia="en-US"/>
        </w:rPr>
        <w:t xml:space="preserve">§ 1; HRC, </w:t>
      </w:r>
      <w:r w:rsidRPr="00A5537A">
        <w:rPr>
          <w:i/>
          <w:color w:val="000000"/>
          <w:lang w:eastAsia="en-US"/>
        </w:rPr>
        <w:t>Abubakar Amirov and Aïzan Amirova v. Russi</w:t>
      </w:r>
      <w:r w:rsidRPr="00A5537A">
        <w:t>a</w:t>
      </w:r>
      <w:r w:rsidRPr="00A5537A">
        <w:rPr>
          <w:i/>
          <w:color w:val="000000"/>
          <w:lang w:eastAsia="en-US"/>
        </w:rPr>
        <w:t>n Federation</w:t>
      </w:r>
      <w:r w:rsidRPr="00A5537A">
        <w:rPr>
          <w:color w:val="000000"/>
          <w:lang w:eastAsia="en-US"/>
        </w:rPr>
        <w:t xml:space="preserve">, </w:t>
      </w:r>
      <w:r w:rsidR="0017646A">
        <w:rPr>
          <w:color w:val="000000"/>
          <w:lang w:eastAsia="en-US"/>
        </w:rPr>
        <w:t xml:space="preserve">communication no. 1447/2006, views of </w:t>
      </w:r>
      <w:r w:rsidRPr="00A5537A">
        <w:rPr>
          <w:color w:val="000000"/>
          <w:lang w:eastAsia="en-US"/>
        </w:rPr>
        <w:t>22 April 2009, § 11.2</w:t>
      </w:r>
      <w:r w:rsidR="00012218" w:rsidRPr="00A5537A">
        <w:rPr>
          <w:color w:val="000000"/>
          <w:lang w:eastAsia="en-US"/>
        </w:rPr>
        <w:t xml:space="preserve">, </w:t>
      </w:r>
      <w:r w:rsidR="0052586F" w:rsidRPr="00A5537A">
        <w:rPr>
          <w:bCs/>
          <w:lang w:eastAsia="en-US"/>
        </w:rPr>
        <w:t>CCPR/C/95/D/1447/2006</w:t>
      </w:r>
      <w:r w:rsidRPr="00A5537A">
        <w:rPr>
          <w:lang w:eastAsia="en-US"/>
        </w:rPr>
        <w:t>).</w:t>
      </w:r>
      <w:r w:rsidRPr="00A5537A">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A5537A">
        <w:rPr>
          <w:lang w:eastAsia="en-US"/>
        </w:rPr>
        <w:t>§§ 12-13</w:t>
      </w:r>
      <w:r w:rsidR="00E3163C" w:rsidRPr="00A5537A">
        <w:rPr>
          <w:lang w:eastAsia="en-US"/>
        </w:rPr>
        <w:t>, CCPR/C/UNK/CO/1</w:t>
      </w:r>
      <w:r w:rsidRPr="00A5537A">
        <w:rPr>
          <w:lang w:eastAsia="en-US"/>
        </w:rPr>
        <w:t>).</w:t>
      </w:r>
    </w:p>
    <w:p w:rsidR="00005EDC" w:rsidRPr="00A5537A" w:rsidRDefault="00005EDC" w:rsidP="00EC64DD">
      <w:pPr>
        <w:tabs>
          <w:tab w:val="left" w:pos="360"/>
        </w:tabs>
        <w:ind w:left="360" w:hanging="360"/>
      </w:pPr>
    </w:p>
    <w:p w:rsidR="00D93FE8" w:rsidRPr="00A5537A" w:rsidRDefault="00005EDC" w:rsidP="00EC64DD">
      <w:pPr>
        <w:pStyle w:val="ListParagraph"/>
        <w:numPr>
          <w:ilvl w:val="0"/>
          <w:numId w:val="5"/>
        </w:numPr>
        <w:tabs>
          <w:tab w:val="left" w:pos="360"/>
        </w:tabs>
        <w:suppressAutoHyphens w:val="0"/>
        <w:contextualSpacing/>
        <w:jc w:val="both"/>
      </w:pPr>
      <w:bookmarkStart w:id="25" w:name="_Ref343611663"/>
      <w:r w:rsidRPr="00A5537A">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A5537A">
        <w:rPr>
          <w:color w:val="000000"/>
        </w:rPr>
        <w:t xml:space="preserve">officers or units of UNMIK Police. Such </w:t>
      </w:r>
      <w:r w:rsidR="00041AD7" w:rsidRPr="00A5537A">
        <w:rPr>
          <w:color w:val="000000"/>
        </w:rPr>
        <w:t xml:space="preserve">a </w:t>
      </w:r>
      <w:r w:rsidRPr="00A5537A">
        <w:rPr>
          <w:color w:val="000000"/>
        </w:rPr>
        <w:t>system should also take account of the protection needs of victims and witnesses</w:t>
      </w:r>
      <w:r w:rsidR="00704732" w:rsidRPr="00A5537A">
        <w:rPr>
          <w:color w:val="000000"/>
        </w:rPr>
        <w:t xml:space="preserve"> (see, </w:t>
      </w:r>
      <w:r w:rsidR="00704732" w:rsidRPr="00A5537A">
        <w:rPr>
          <w:i/>
          <w:color w:val="000000"/>
        </w:rPr>
        <w:t>mutatis mutandis</w:t>
      </w:r>
      <w:r w:rsidR="00704732" w:rsidRPr="00A5537A">
        <w:rPr>
          <w:color w:val="000000"/>
        </w:rPr>
        <w:t xml:space="preserve">, ECtHR, </w:t>
      </w:r>
      <w:r w:rsidR="00704732" w:rsidRPr="00A5537A">
        <w:rPr>
          <w:i/>
          <w:color w:val="000000"/>
        </w:rPr>
        <w:t>R.R. and Others v. Hungary</w:t>
      </w:r>
      <w:r w:rsidR="00704732" w:rsidRPr="00A5537A">
        <w:rPr>
          <w:color w:val="000000"/>
        </w:rPr>
        <w:t>, no. 19400/11, judgment of 4 December 2012, §§ 28-32)</w:t>
      </w:r>
      <w:r w:rsidR="00D93FE8" w:rsidRPr="00A5537A">
        <w:rPr>
          <w:color w:val="000000"/>
        </w:rPr>
        <w:t xml:space="preserve">, as well as </w:t>
      </w:r>
      <w:r w:rsidR="003A5E2D" w:rsidRPr="00A5537A">
        <w:rPr>
          <w:color w:val="000000"/>
        </w:rPr>
        <w:t xml:space="preserve">to </w:t>
      </w:r>
      <w:r w:rsidR="00D93FE8" w:rsidRPr="00A5537A">
        <w:rPr>
          <w:color w:val="000000"/>
        </w:rPr>
        <w:t>consider</w:t>
      </w:r>
      <w:r w:rsidR="003A5E2D" w:rsidRPr="00A5537A">
        <w:rPr>
          <w:color w:val="000000"/>
        </w:rPr>
        <w:t xml:space="preserve"> </w:t>
      </w:r>
      <w:r w:rsidR="00D93FE8" w:rsidRPr="00A5537A">
        <w:rPr>
          <w:color w:val="000000"/>
        </w:rPr>
        <w:t>the special v</w:t>
      </w:r>
      <w:r w:rsidR="00F03599" w:rsidRPr="00A5537A">
        <w:rPr>
          <w:color w:val="000000"/>
          <w:lang w:val="en-GB"/>
        </w:rPr>
        <w:t>ulnerability</w:t>
      </w:r>
      <w:r w:rsidR="00D93FE8" w:rsidRPr="00A5537A">
        <w:rPr>
          <w:color w:val="000000"/>
          <w:lang w:val="en-GB"/>
        </w:rPr>
        <w:t xml:space="preserve"> of </w:t>
      </w:r>
      <w:r w:rsidR="0022364D" w:rsidRPr="00A5537A">
        <w:rPr>
          <w:color w:val="000000"/>
          <w:lang w:val="en-GB"/>
        </w:rPr>
        <w:t>displaced persons</w:t>
      </w:r>
      <w:r w:rsidR="00D93FE8" w:rsidRPr="00A5537A">
        <w:rPr>
          <w:color w:val="000000"/>
        </w:rPr>
        <w:t xml:space="preserve"> in post-conflict situations </w:t>
      </w:r>
      <w:r w:rsidR="00704732" w:rsidRPr="00A5537A">
        <w:rPr>
          <w:color w:val="000000"/>
        </w:rPr>
        <w:t>(see</w:t>
      </w:r>
      <w:r w:rsidR="00D93FE8" w:rsidRPr="00A5537A">
        <w:rPr>
          <w:color w:val="000000"/>
        </w:rPr>
        <w:t xml:space="preserve"> </w:t>
      </w:r>
      <w:r w:rsidR="000709F0" w:rsidRPr="00A5537A">
        <w:rPr>
          <w:color w:val="000000"/>
        </w:rPr>
        <w:t xml:space="preserve">ECtHR </w:t>
      </w:r>
      <w:r w:rsidR="00FF43CB" w:rsidRPr="00A5537A">
        <w:rPr>
          <w:color w:val="000000"/>
        </w:rPr>
        <w:t>[GC]</w:t>
      </w:r>
      <w:r w:rsidR="000709F0" w:rsidRPr="00A5537A">
        <w:rPr>
          <w:color w:val="000000"/>
        </w:rPr>
        <w:t xml:space="preserve">, </w:t>
      </w:r>
      <w:r w:rsidR="00D93FE8" w:rsidRPr="00A5537A">
        <w:rPr>
          <w:i/>
          <w:color w:val="000000"/>
        </w:rPr>
        <w:t xml:space="preserve">Sargsyan v. Azerbaijan, </w:t>
      </w:r>
      <w:r w:rsidR="005E362B" w:rsidRPr="00A5537A">
        <w:rPr>
          <w:color w:val="000000"/>
        </w:rPr>
        <w:t>no. 40167/06, decision</w:t>
      </w:r>
      <w:r w:rsidR="005200EF" w:rsidRPr="00A5537A">
        <w:rPr>
          <w:color w:val="000000"/>
        </w:rPr>
        <w:t xml:space="preserve"> of 14 December 2011, § 145</w:t>
      </w:r>
      <w:r w:rsidR="000709F0" w:rsidRPr="00A5537A">
        <w:rPr>
          <w:color w:val="000000"/>
        </w:rPr>
        <w:t>; and</w:t>
      </w:r>
      <w:r w:rsidR="005E362B" w:rsidRPr="00A5537A">
        <w:rPr>
          <w:color w:val="000000"/>
        </w:rPr>
        <w:t xml:space="preserve"> </w:t>
      </w:r>
      <w:r w:rsidR="00FF43CB" w:rsidRPr="00A5537A">
        <w:rPr>
          <w:color w:val="000000"/>
        </w:rPr>
        <w:t>ECtHR [GC]</w:t>
      </w:r>
      <w:r w:rsidR="000709F0" w:rsidRPr="00A5537A">
        <w:rPr>
          <w:color w:val="000000"/>
        </w:rPr>
        <w:t xml:space="preserve">, </w:t>
      </w:r>
      <w:r w:rsidR="000709F0" w:rsidRPr="00A5537A">
        <w:rPr>
          <w:i/>
          <w:color w:val="000000"/>
        </w:rPr>
        <w:t xml:space="preserve">Chiragov and </w:t>
      </w:r>
      <w:r w:rsidR="003A5E2D" w:rsidRPr="00A5537A">
        <w:rPr>
          <w:i/>
          <w:color w:val="000000"/>
        </w:rPr>
        <w:t>O</w:t>
      </w:r>
      <w:r w:rsidR="000709F0" w:rsidRPr="00A5537A">
        <w:rPr>
          <w:i/>
          <w:color w:val="000000"/>
        </w:rPr>
        <w:t>thers</w:t>
      </w:r>
      <w:r w:rsidR="003A5E2D" w:rsidRPr="00A5537A">
        <w:rPr>
          <w:i/>
          <w:color w:val="000000"/>
        </w:rPr>
        <w:t xml:space="preserve"> </w:t>
      </w:r>
      <w:r w:rsidR="000709F0" w:rsidRPr="00A5537A">
        <w:rPr>
          <w:i/>
          <w:color w:val="000000"/>
        </w:rPr>
        <w:t>v. Armenia</w:t>
      </w:r>
      <w:r w:rsidR="000709F0" w:rsidRPr="00A5537A">
        <w:rPr>
          <w:color w:val="000000"/>
        </w:rPr>
        <w:t>, no. 13216/05, decision of 14 December 2011, § 146</w:t>
      </w:r>
      <w:r w:rsidRPr="00A5537A">
        <w:rPr>
          <w:color w:val="000000"/>
        </w:rPr>
        <w:t>). While understanding that the deployment and the organisation of the police and justice apparatus occurred</w:t>
      </w:r>
      <w:r w:rsidRPr="00A5537A">
        <w:t xml:space="preserve"> gradually, the Panel deems that this process was completed in 2003 when the police and justice system in Kosovo was described as being “well-functioning” and “sustainable” by the UN Secretary-General (see </w:t>
      </w:r>
      <w:r w:rsidRPr="00A5537A">
        <w:rPr>
          <w:lang w:eastAsia="en-US"/>
        </w:rPr>
        <w:t xml:space="preserve">§ </w:t>
      </w:r>
      <w:r w:rsidR="00094B86">
        <w:fldChar w:fldCharType="begin"/>
      </w:r>
      <w:r w:rsidR="00094B86">
        <w:instrText xml:space="preserve"> REF _Ref346123767 \r \h  \* MERGEFORMAT </w:instrText>
      </w:r>
      <w:r w:rsidR="00094B86">
        <w:fldChar w:fldCharType="separate"/>
      </w:r>
      <w:r w:rsidR="00CD6AC2">
        <w:rPr>
          <w:lang w:eastAsia="en-US"/>
        </w:rPr>
        <w:t>17</w:t>
      </w:r>
      <w:r w:rsidR="00094B86">
        <w:fldChar w:fldCharType="end"/>
      </w:r>
      <w:r w:rsidR="00A82979" w:rsidRPr="00A5537A">
        <w:rPr>
          <w:lang w:eastAsia="en-US"/>
        </w:rPr>
        <w:t xml:space="preserve"> </w:t>
      </w:r>
      <w:r w:rsidRPr="00A5537A">
        <w:t>above).</w:t>
      </w:r>
      <w:bookmarkEnd w:id="25"/>
      <w:r w:rsidR="00BB0937">
        <w:t xml:space="preserve"> (see 112/09 </w:t>
      </w:r>
      <w:proofErr w:type="spellStart"/>
      <w:r w:rsidR="00BB0937">
        <w:t>para</w:t>
      </w:r>
      <w:proofErr w:type="spellEnd"/>
      <w:r w:rsidR="00BB0937">
        <w:t xml:space="preserve"> 78)</w:t>
      </w:r>
    </w:p>
    <w:p w:rsidR="00005EDC" w:rsidRPr="00A5537A" w:rsidRDefault="00005EDC" w:rsidP="00EC64DD">
      <w:pPr>
        <w:pStyle w:val="ListParagraph"/>
        <w:tabs>
          <w:tab w:val="left" w:pos="360"/>
        </w:tabs>
        <w:ind w:left="360" w:hanging="360"/>
        <w:rPr>
          <w:lang w:val="en-GB"/>
        </w:rPr>
      </w:pPr>
    </w:p>
    <w:p w:rsidR="00005EDC" w:rsidRDefault="00005EDC" w:rsidP="00EC64DD">
      <w:pPr>
        <w:numPr>
          <w:ilvl w:val="0"/>
          <w:numId w:val="5"/>
        </w:numPr>
        <w:tabs>
          <w:tab w:val="left" w:pos="360"/>
        </w:tabs>
        <w:suppressAutoHyphens/>
        <w:autoSpaceDE w:val="0"/>
        <w:jc w:val="both"/>
        <w:rPr>
          <w:rStyle w:val="sb8d990e2"/>
        </w:rPr>
      </w:pPr>
      <w:r w:rsidRPr="00A5537A">
        <w:rPr>
          <w:rStyle w:val="sb8d990e2"/>
        </w:rPr>
        <w:t xml:space="preserve">The Panel further notes that its task is not to review relevant practices or alleged obstacles to the conduct of effective investigations </w:t>
      </w:r>
      <w:r w:rsidRPr="00A5537A">
        <w:rPr>
          <w:rStyle w:val="s6b621b36"/>
          <w:i/>
        </w:rPr>
        <w:t xml:space="preserve">in </w:t>
      </w:r>
      <w:r w:rsidRPr="00A5537A">
        <w:rPr>
          <w:rStyle w:val="wordhighlighted"/>
          <w:i/>
        </w:rPr>
        <w:t>abstracto</w:t>
      </w:r>
      <w:r w:rsidRPr="00A5537A">
        <w:rPr>
          <w:rStyle w:val="sb8d990e2"/>
        </w:rPr>
        <w:t xml:space="preserve">, but only in relation to their specific application to the particular circumstances of a situation subject of a complaint before </w:t>
      </w:r>
      <w:r w:rsidRPr="00A5537A">
        <w:rPr>
          <w:rStyle w:val="sb8d990e2"/>
          <w:color w:val="000000"/>
        </w:rPr>
        <w:t>it (see</w:t>
      </w:r>
      <w:r w:rsidR="003A5E2D" w:rsidRPr="00A5537A">
        <w:rPr>
          <w:rStyle w:val="sb8d990e2"/>
          <w:color w:val="000000"/>
        </w:rPr>
        <w:t>,</w:t>
      </w:r>
      <w:r w:rsidRPr="00A5537A">
        <w:rPr>
          <w:rStyle w:val="sb8d990e2"/>
          <w:color w:val="000000"/>
        </w:rPr>
        <w:t xml:space="preserve"> EC</w:t>
      </w:r>
      <w:r w:rsidR="003A5E2D" w:rsidRPr="00A5537A">
        <w:rPr>
          <w:rStyle w:val="sb8d990e2"/>
          <w:color w:val="000000"/>
        </w:rPr>
        <w:t>t</w:t>
      </w:r>
      <w:r w:rsidRPr="00A5537A">
        <w:rPr>
          <w:rStyle w:val="sb8d990e2"/>
          <w:color w:val="000000"/>
        </w:rPr>
        <w:t xml:space="preserve">HR, </w:t>
      </w:r>
      <w:r w:rsidRPr="00A5537A">
        <w:rPr>
          <w:rStyle w:val="s6b621b36"/>
          <w:i/>
          <w:color w:val="000000"/>
        </w:rPr>
        <w:t>Brogan</w:t>
      </w:r>
      <w:r w:rsidRPr="00A5537A">
        <w:rPr>
          <w:rStyle w:val="s6b621b36"/>
          <w:i/>
        </w:rPr>
        <w:t xml:space="preserve"> and Others v. the United </w:t>
      </w:r>
      <w:r w:rsidRPr="00A5537A">
        <w:rPr>
          <w:rStyle w:val="s6b621b36"/>
          <w:i/>
          <w:color w:val="000000"/>
        </w:rPr>
        <w:t>Kingdom</w:t>
      </w:r>
      <w:r w:rsidRPr="00A5537A">
        <w:rPr>
          <w:rStyle w:val="sb8d990e2"/>
          <w:color w:val="000000"/>
        </w:rPr>
        <w:t xml:space="preserve">, </w:t>
      </w:r>
      <w:r w:rsidRPr="00A5537A">
        <w:rPr>
          <w:rStyle w:val="column01"/>
          <w:color w:val="000000"/>
        </w:rPr>
        <w:t>judgment of</w:t>
      </w:r>
      <w:r w:rsidRPr="00A5537A">
        <w:rPr>
          <w:rStyle w:val="sb8d990e2"/>
          <w:color w:val="000000"/>
        </w:rPr>
        <w:t xml:space="preserve"> 29</w:t>
      </w:r>
      <w:r w:rsidRPr="00A5537A">
        <w:rPr>
          <w:rStyle w:val="sb8d990e2"/>
        </w:rPr>
        <w:t xml:space="preserve"> November 1988,</w:t>
      </w:r>
      <w:r w:rsidRPr="00A5537A">
        <w:t xml:space="preserve"> </w:t>
      </w:r>
      <w:r w:rsidRPr="00A5537A">
        <w:rPr>
          <w:rStyle w:val="sb8d990e2"/>
        </w:rPr>
        <w:t>§ 53, Series A no. 145</w:t>
      </w:r>
      <w:r w:rsidR="000F013A" w:rsidRPr="00A5537A">
        <w:rPr>
          <w:rStyle w:val="sb8d990e2"/>
        </w:rPr>
        <w:t>-</w:t>
      </w:r>
      <w:r w:rsidRPr="00A5537A">
        <w:rPr>
          <w:rStyle w:val="sb8d990e2"/>
        </w:rPr>
        <w:t xml:space="preserve">B). </w:t>
      </w:r>
      <w:r w:rsidRPr="00A5537A">
        <w:t xml:space="preserve">The Panel thus agrees with the SRSG that the nature and degree of scrutiny to determine whether the effectiveness of the investigation satisfies the minimum threshold depends on the circumstances of the particular case. </w:t>
      </w:r>
      <w:r w:rsidRPr="00A5537A">
        <w:rPr>
          <w:rStyle w:val="sb8d990e2"/>
        </w:rPr>
        <w:t>For these reasons, the Panel considers that it will establish with regard to each case if all reasonable steps were taken to conduct an effective investigation as prescribed by Article 2,</w:t>
      </w:r>
      <w:r w:rsidRPr="00A5537A">
        <w:t xml:space="preserve"> </w:t>
      </w:r>
      <w:r w:rsidRPr="00A5537A">
        <w:rPr>
          <w:rStyle w:val="sb8d990e2"/>
        </w:rPr>
        <w:t>having regard to the realities of the investigative work in Kosovo</w:t>
      </w:r>
      <w:r w:rsidR="00F456B4" w:rsidRPr="00A5537A">
        <w:rPr>
          <w:rStyle w:val="sb8d990e2"/>
        </w:rPr>
        <w:t>.</w:t>
      </w:r>
    </w:p>
    <w:p w:rsidR="00754DBD" w:rsidRDefault="00754DBD" w:rsidP="00754DBD">
      <w:pPr>
        <w:suppressAutoHyphens/>
        <w:autoSpaceDE w:val="0"/>
        <w:ind w:left="360"/>
        <w:jc w:val="both"/>
        <w:rPr>
          <w:rStyle w:val="sb8d990e2"/>
        </w:rPr>
      </w:pPr>
    </w:p>
    <w:p w:rsidR="00754DBD" w:rsidRPr="00754DBD" w:rsidRDefault="00754DBD" w:rsidP="00754DBD">
      <w:pPr>
        <w:pStyle w:val="ListParagraph"/>
        <w:numPr>
          <w:ilvl w:val="0"/>
          <w:numId w:val="5"/>
        </w:numPr>
        <w:suppressAutoHyphens w:val="0"/>
        <w:contextualSpacing/>
        <w:jc w:val="both"/>
        <w:rPr>
          <w:lang w:val="en-GB"/>
        </w:rPr>
      </w:pPr>
      <w:r w:rsidRPr="00513A63">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513A63">
        <w:t>ECtHR</w:t>
      </w:r>
      <w:proofErr w:type="spellEnd"/>
      <w:r w:rsidRPr="00513A63">
        <w:t xml:space="preserve">, </w:t>
      </w:r>
      <w:proofErr w:type="spellStart"/>
      <w:r w:rsidRPr="00DD06D3">
        <w:rPr>
          <w:i/>
        </w:rPr>
        <w:t>Palić</w:t>
      </w:r>
      <w:proofErr w:type="spellEnd"/>
      <w:r w:rsidRPr="00DD06D3">
        <w:rPr>
          <w:i/>
        </w:rPr>
        <w:t xml:space="preserve"> v. Bosnia and Herzegovina,</w:t>
      </w:r>
      <w:r w:rsidRPr="00513A63">
        <w:t xml:space="preserve"> cited</w:t>
      </w:r>
      <w:r>
        <w:t xml:space="preserve"> in</w:t>
      </w:r>
      <w:r w:rsidRPr="00513A63">
        <w:t xml:space="preserve"> § </w:t>
      </w:r>
      <w:r w:rsidR="0010066F">
        <w:fldChar w:fldCharType="begin"/>
      </w:r>
      <w:r>
        <w:instrText xml:space="preserve"> REF _Ref358368767 \r \h </w:instrText>
      </w:r>
      <w:r w:rsidR="0010066F">
        <w:fldChar w:fldCharType="separate"/>
      </w:r>
      <w:r w:rsidR="00CD6AC2">
        <w:t>66</w:t>
      </w:r>
      <w:r w:rsidR="0010066F">
        <w:fldChar w:fldCharType="end"/>
      </w:r>
      <w:r w:rsidRPr="00513A63">
        <w:t xml:space="preserve"> above, </w:t>
      </w:r>
      <w:proofErr w:type="spellStart"/>
      <w:r w:rsidRPr="00DD06D3">
        <w:rPr>
          <w:i/>
        </w:rPr>
        <w:t>Brecknell</w:t>
      </w:r>
      <w:proofErr w:type="spellEnd"/>
      <w:r w:rsidRPr="00DD06D3">
        <w:rPr>
          <w:i/>
        </w:rPr>
        <w:t xml:space="preserve"> v. The United Kingdom,</w:t>
      </w:r>
      <w:r w:rsidRPr="00513A63">
        <w:t xml:space="preserve"> no. 32457/04, 27 November 2007, § 70).</w:t>
      </w:r>
    </w:p>
    <w:p w:rsidR="00754DBD" w:rsidRDefault="00754DBD" w:rsidP="00754DBD">
      <w:pPr>
        <w:pStyle w:val="ListParagraph"/>
        <w:suppressAutoHyphens w:val="0"/>
        <w:ind w:left="360"/>
        <w:contextualSpacing/>
        <w:jc w:val="both"/>
      </w:pPr>
    </w:p>
    <w:p w:rsidR="00754DBD" w:rsidRPr="007C502D" w:rsidRDefault="00754DBD" w:rsidP="00754DBD">
      <w:pPr>
        <w:pStyle w:val="ListParagraph"/>
        <w:numPr>
          <w:ilvl w:val="0"/>
          <w:numId w:val="35"/>
        </w:numPr>
        <w:tabs>
          <w:tab w:val="left" w:pos="360"/>
        </w:tabs>
        <w:suppressAutoHyphens w:val="0"/>
        <w:ind w:left="360"/>
        <w:contextualSpacing/>
        <w:jc w:val="both"/>
        <w:rPr>
          <w:bCs/>
          <w:i/>
          <w:color w:val="FF0000"/>
          <w:lang w:val="en-GB"/>
        </w:rPr>
      </w:pPr>
      <w:r w:rsidRPr="00A5537A">
        <w:rPr>
          <w:i/>
          <w:color w:val="000000"/>
          <w:lang w:eastAsia="en-US"/>
        </w:rPr>
        <w:t>Compliance</w:t>
      </w:r>
      <w:r w:rsidRPr="00A5537A">
        <w:rPr>
          <w:bCs/>
          <w:i/>
          <w:lang w:val="en-GB"/>
        </w:rPr>
        <w:t xml:space="preserve"> with the requirements of Article 2 in the present </w:t>
      </w:r>
      <w:r w:rsidRPr="007C502D">
        <w:rPr>
          <w:bCs/>
          <w:i/>
          <w:lang w:val="en-GB"/>
        </w:rPr>
        <w:t>case</w:t>
      </w:r>
    </w:p>
    <w:p w:rsidR="00754DBD" w:rsidRPr="00754DBD" w:rsidRDefault="00754DBD" w:rsidP="00754DBD">
      <w:pPr>
        <w:contextualSpacing/>
        <w:jc w:val="both"/>
        <w:rPr>
          <w:lang w:val="en-GB"/>
        </w:rPr>
      </w:pPr>
    </w:p>
    <w:p w:rsidR="00754DBD" w:rsidRPr="00754DBD" w:rsidRDefault="00754DBD" w:rsidP="00754DBD">
      <w:pPr>
        <w:pStyle w:val="ListParagraph"/>
        <w:numPr>
          <w:ilvl w:val="0"/>
          <w:numId w:val="5"/>
        </w:numPr>
        <w:suppressAutoHyphens w:val="0"/>
        <w:contextualSpacing/>
        <w:jc w:val="both"/>
        <w:rPr>
          <w:lang w:val="en-GB"/>
        </w:rPr>
      </w:pPr>
      <w:r w:rsidRPr="00754DBD">
        <w:rPr>
          <w:bCs/>
          <w:lang w:val="en-GB"/>
        </w:rPr>
        <w:t>Turning to the particular circumstances of this case,</w:t>
      </w:r>
      <w:r w:rsidRPr="00754DBD">
        <w:rPr>
          <w:lang w:val="en-GB"/>
        </w:rPr>
        <w:t xml:space="preserve"> the complainants state that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Milenković’s</w:t>
      </w:r>
      <w:proofErr w:type="spellEnd"/>
      <w:r w:rsidRPr="00754DBD">
        <w:rPr>
          <w:lang w:val="en-GB"/>
        </w:rPr>
        <w:t xml:space="preserve"> </w:t>
      </w:r>
      <w:r>
        <w:rPr>
          <w:lang w:val="en-GB"/>
        </w:rPr>
        <w:t>abduction and killing</w:t>
      </w:r>
      <w:r w:rsidRPr="00754DBD">
        <w:rPr>
          <w:lang w:val="en-GB"/>
        </w:rPr>
        <w:t xml:space="preserve"> was reported promptly to </w:t>
      </w:r>
      <w:r w:rsidRPr="00754DBD">
        <w:rPr>
          <w:bCs/>
          <w:lang w:val="en-GB"/>
        </w:rPr>
        <w:t>UNMIK, KFOR, and the ICRC</w:t>
      </w:r>
      <w:r w:rsidRPr="00754DBD">
        <w:rPr>
          <w:lang w:val="en-GB"/>
        </w:rPr>
        <w:t xml:space="preserve">. Lacking specific documentation in this regard, the Panel considers that UNMIK became aware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r>
        <w:rPr>
          <w:lang w:val="en-GB"/>
        </w:rPr>
        <w:t>’</w:t>
      </w:r>
      <w:r w:rsidRPr="00754DBD">
        <w:rPr>
          <w:lang w:val="en-GB"/>
        </w:rPr>
        <w:t>s</w:t>
      </w:r>
      <w:proofErr w:type="spellEnd"/>
      <w:r w:rsidRPr="00754DBD">
        <w:rPr>
          <w:lang w:val="en-GB"/>
        </w:rPr>
        <w:t xml:space="preserve"> </w:t>
      </w:r>
      <w:r>
        <w:rPr>
          <w:lang w:val="en-GB"/>
        </w:rPr>
        <w:t>abduction and killing</w:t>
      </w:r>
      <w:r w:rsidRPr="00754DBD">
        <w:rPr>
          <w:lang w:val="en-GB"/>
        </w:rPr>
        <w:t xml:space="preserve"> at the latest by </w:t>
      </w:r>
      <w:r>
        <w:rPr>
          <w:lang w:val="en-GB"/>
        </w:rPr>
        <w:t>1 October 1999</w:t>
      </w:r>
      <w:r w:rsidRPr="00754DBD">
        <w:rPr>
          <w:lang w:val="en-GB"/>
        </w:rPr>
        <w:t xml:space="preserve"> (see § </w:t>
      </w:r>
      <w:r w:rsidR="0010066F">
        <w:rPr>
          <w:lang w:val="en-GB"/>
        </w:rPr>
        <w:fldChar w:fldCharType="begin"/>
      </w:r>
      <w:r>
        <w:rPr>
          <w:lang w:val="en-GB"/>
        </w:rPr>
        <w:instrText xml:space="preserve"> REF _Ref358376223 \r \h </w:instrText>
      </w:r>
      <w:r w:rsidR="0010066F">
        <w:rPr>
          <w:lang w:val="en-GB"/>
        </w:rPr>
      </w:r>
      <w:r w:rsidR="0010066F">
        <w:rPr>
          <w:lang w:val="en-GB"/>
        </w:rPr>
        <w:fldChar w:fldCharType="separate"/>
      </w:r>
      <w:r w:rsidR="00CD6AC2">
        <w:rPr>
          <w:lang w:val="en-GB"/>
        </w:rPr>
        <w:t>29</w:t>
      </w:r>
      <w:r w:rsidR="0010066F">
        <w:rPr>
          <w:lang w:val="en-GB"/>
        </w:rPr>
        <w:fldChar w:fldCharType="end"/>
      </w:r>
      <w:r>
        <w:rPr>
          <w:lang w:val="en-GB"/>
        </w:rPr>
        <w:t xml:space="preserve"> </w:t>
      </w:r>
      <w:r w:rsidRPr="00754DBD">
        <w:rPr>
          <w:lang w:val="en-GB"/>
        </w:rPr>
        <w:t>above).</w:t>
      </w:r>
    </w:p>
    <w:p w:rsidR="00754DBD" w:rsidRPr="00DD06D3" w:rsidRDefault="00754DBD" w:rsidP="00754DBD">
      <w:pPr>
        <w:pStyle w:val="ListParagraph"/>
        <w:suppressAutoHyphens w:val="0"/>
        <w:ind w:left="360" w:hanging="360"/>
        <w:contextualSpacing/>
        <w:jc w:val="both"/>
        <w:rPr>
          <w:color w:val="000000"/>
          <w:lang w:val="en-GB" w:eastAsia="en-US"/>
        </w:rPr>
      </w:pPr>
    </w:p>
    <w:p w:rsidR="00754DBD" w:rsidRPr="00754DBD" w:rsidRDefault="00754DBD" w:rsidP="00754DBD">
      <w:pPr>
        <w:numPr>
          <w:ilvl w:val="0"/>
          <w:numId w:val="5"/>
        </w:numPr>
        <w:tabs>
          <w:tab w:val="left" w:pos="360"/>
        </w:tabs>
        <w:jc w:val="both"/>
      </w:pPr>
      <w:r w:rsidRPr="00DD06D3">
        <w:rPr>
          <w:lang w:val="en-GB"/>
        </w:rPr>
        <w:t xml:space="preserve">The SRSG states that an effective investigation was carried out in relation to the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Milenković’s</w:t>
      </w:r>
      <w:proofErr w:type="spellEnd"/>
      <w:r w:rsidRPr="00754DBD">
        <w:rPr>
          <w:lang w:val="en-GB"/>
        </w:rPr>
        <w:t xml:space="preserve"> </w:t>
      </w:r>
      <w:r>
        <w:rPr>
          <w:lang w:val="en-GB"/>
        </w:rPr>
        <w:t>abduction and killing</w:t>
      </w:r>
      <w:r w:rsidRPr="00DD06D3">
        <w:rPr>
          <w:lang w:val="en-GB"/>
        </w:rPr>
        <w:t>, however, due to minimal information and available leads, no concrete results could be achieved.</w:t>
      </w:r>
    </w:p>
    <w:p w:rsidR="00754DBD" w:rsidRPr="00754DBD" w:rsidRDefault="00754DBD" w:rsidP="00754DBD">
      <w:pPr>
        <w:ind w:left="360"/>
        <w:jc w:val="both"/>
      </w:pPr>
    </w:p>
    <w:p w:rsidR="007F6026" w:rsidRPr="00A5537A" w:rsidRDefault="007C502D" w:rsidP="00EC64DD">
      <w:pPr>
        <w:numPr>
          <w:ilvl w:val="0"/>
          <w:numId w:val="5"/>
        </w:numPr>
        <w:tabs>
          <w:tab w:val="left" w:pos="360"/>
        </w:tabs>
        <w:jc w:val="both"/>
      </w:pPr>
      <w:r w:rsidRPr="00F85AF1">
        <w:rPr>
          <w:bCs/>
          <w:lang w:val="en-GB"/>
        </w:rPr>
        <w:t>T</w:t>
      </w:r>
      <w:r w:rsidR="00F03599" w:rsidRPr="00A5537A">
        <w:rPr>
          <w:bCs/>
          <w:lang w:val="en-GB"/>
        </w:rPr>
        <w:t xml:space="preserve">he Panel notes that </w:t>
      </w:r>
      <w:r w:rsidR="00473F9B" w:rsidRPr="00A5537A">
        <w:rPr>
          <w:bCs/>
          <w:lang w:val="en-GB"/>
        </w:rPr>
        <w:t xml:space="preserve">there </w:t>
      </w:r>
      <w:r w:rsidR="00F03599" w:rsidRPr="00A5537A">
        <w:t>were obvious shortcomings in the conduct of the i</w:t>
      </w:r>
      <w:r w:rsidR="002A2F09" w:rsidRPr="00A5537A">
        <w:t xml:space="preserve">nvestigation from its inception, having in </w:t>
      </w:r>
      <w:proofErr w:type="gramStart"/>
      <w:r w:rsidR="002A2F09" w:rsidRPr="00A5537A">
        <w:t>mind</w:t>
      </w:r>
      <w:proofErr w:type="gramEnd"/>
      <w:r w:rsidR="002A2F09" w:rsidRPr="00A5537A">
        <w:t xml:space="preserve"> that</w:t>
      </w:r>
      <w:r w:rsidR="00F03599" w:rsidRPr="00A5537A">
        <w:t xml:space="preserve"> </w:t>
      </w:r>
      <w:r w:rsidR="00BA4103" w:rsidRPr="00A5537A">
        <w:rPr>
          <w:bCs/>
          <w:lang w:val="en-GB"/>
        </w:rPr>
        <w:t>that the initial stage of the investigat</w:t>
      </w:r>
      <w:r w:rsidR="002A2F09" w:rsidRPr="00A5537A">
        <w:rPr>
          <w:bCs/>
          <w:lang w:val="en-GB"/>
        </w:rPr>
        <w:t>ion is of the utmost importance</w:t>
      </w:r>
      <w:r w:rsidR="00BA4103" w:rsidRPr="00A5537A">
        <w:rPr>
          <w:bCs/>
          <w:lang w:val="en-GB"/>
        </w:rPr>
        <w:t>.</w:t>
      </w:r>
      <w:r w:rsidR="009C5037">
        <w:rPr>
          <w:bCs/>
          <w:lang w:val="en-GB"/>
        </w:rPr>
        <w:t xml:space="preserve"> </w:t>
      </w:r>
      <w:r w:rsidR="007F6026" w:rsidRPr="00A5537A">
        <w:t xml:space="preserve">However, in </w:t>
      </w:r>
      <w:r w:rsidR="007F6026" w:rsidRPr="00A5537A">
        <w:rPr>
          <w:color w:val="000000"/>
        </w:rPr>
        <w:t xml:space="preserve">light of the considerations developed above concerning its limited temporal jurisdiction (see § </w:t>
      </w:r>
      <w:r w:rsidR="00094B86">
        <w:fldChar w:fldCharType="begin"/>
      </w:r>
      <w:r w:rsidR="00094B86">
        <w:instrText xml:space="preserve"> REF _Ref346123885 \r \h  \* MERGEFORMAT </w:instrText>
      </w:r>
      <w:r w:rsidR="00094B86">
        <w:fldChar w:fldCharType="separate"/>
      </w:r>
      <w:r w:rsidR="00CD6AC2" w:rsidRPr="00CD6AC2">
        <w:rPr>
          <w:color w:val="000000"/>
        </w:rPr>
        <w:t>44</w:t>
      </w:r>
      <w:r w:rsidR="00094B86">
        <w:fldChar w:fldCharType="end"/>
      </w:r>
      <w:r w:rsidR="007F6026" w:rsidRPr="00A5537A">
        <w:rPr>
          <w:color w:val="000000"/>
        </w:rPr>
        <w:t xml:space="preserve">), the Panel recalls that it is competent </w:t>
      </w:r>
      <w:r w:rsidR="007F6026" w:rsidRPr="00A5537A">
        <w:rPr>
          <w:i/>
          <w:color w:val="000000"/>
        </w:rPr>
        <w:t>ratione temporis</w:t>
      </w:r>
      <w:r w:rsidR="007F6026" w:rsidRPr="00A5537A">
        <w:rPr>
          <w:color w:val="000000"/>
        </w:rPr>
        <w:t xml:space="preserve"> to evaluate the compliance of the investigation with Article 2 of the ECHR only for the period after 23 April 2005, </w:t>
      </w:r>
      <w:r w:rsidR="007F6026" w:rsidRPr="00A5537A">
        <w:t xml:space="preserve">while taking into consideration the state of the case at that date (ECtHR, </w:t>
      </w:r>
      <w:r w:rsidR="007F6026" w:rsidRPr="00A5537A">
        <w:rPr>
          <w:i/>
        </w:rPr>
        <w:t>Palić v. Bosnia and Herzegovina</w:t>
      </w:r>
      <w:r w:rsidR="007F6026" w:rsidRPr="00A5537A">
        <w:t xml:space="preserve">, cited </w:t>
      </w:r>
      <w:r w:rsidR="00473F9B" w:rsidRPr="00A5537A">
        <w:t xml:space="preserve">in </w:t>
      </w:r>
      <w:r w:rsidR="007F6026" w:rsidRPr="00A5537A">
        <w:t xml:space="preserve">§ </w:t>
      </w:r>
      <w:r w:rsidR="0010066F">
        <w:fldChar w:fldCharType="begin"/>
      </w:r>
      <w:r w:rsidR="00754DBD">
        <w:instrText xml:space="preserve"> REF _Ref358368767 \r \h </w:instrText>
      </w:r>
      <w:r w:rsidR="0010066F">
        <w:fldChar w:fldCharType="separate"/>
      </w:r>
      <w:r w:rsidR="00CD6AC2">
        <w:t>66</w:t>
      </w:r>
      <w:r w:rsidR="0010066F">
        <w:fldChar w:fldCharType="end"/>
      </w:r>
      <w:r w:rsidR="00473F9B" w:rsidRPr="00A5537A">
        <w:t xml:space="preserve"> </w:t>
      </w:r>
      <w:r w:rsidR="007F6026" w:rsidRPr="00A5537A">
        <w:t>above</w:t>
      </w:r>
      <w:r w:rsidR="00473F9B" w:rsidRPr="00A5537A">
        <w:t>, at</w:t>
      </w:r>
      <w:r w:rsidR="007F6026" w:rsidRPr="00A5537A">
        <w:t xml:space="preserve"> § 70)</w:t>
      </w:r>
      <w:r w:rsidR="007F6026" w:rsidRPr="00A5537A">
        <w:rPr>
          <w:color w:val="000000"/>
        </w:rPr>
        <w:t xml:space="preserve">. The period under review ends on 9 December 2008, with EULEX taking over responsibility in the area of administration of justice (see § </w:t>
      </w:r>
      <w:r w:rsidR="00094B86">
        <w:fldChar w:fldCharType="begin"/>
      </w:r>
      <w:r w:rsidR="00094B86">
        <w:instrText xml:space="preserve"> REF _Ref346123927 \r \h  \* MERGEFORMAT </w:instrText>
      </w:r>
      <w:r w:rsidR="00094B86">
        <w:fldChar w:fldCharType="separate"/>
      </w:r>
      <w:r w:rsidR="00CD6AC2" w:rsidRPr="00CD6AC2">
        <w:rPr>
          <w:color w:val="000000"/>
        </w:rPr>
        <w:t>19</w:t>
      </w:r>
      <w:r w:rsidR="00094B86">
        <w:fldChar w:fldCharType="end"/>
      </w:r>
      <w:r w:rsidR="00473F9B" w:rsidRPr="00A5537A">
        <w:rPr>
          <w:color w:val="000000"/>
        </w:rPr>
        <w:t xml:space="preserve"> </w:t>
      </w:r>
      <w:r w:rsidR="007F6026" w:rsidRPr="00A5537A">
        <w:rPr>
          <w:color w:val="000000"/>
        </w:rPr>
        <w:t xml:space="preserve">above). </w:t>
      </w:r>
    </w:p>
    <w:p w:rsidR="007F6026" w:rsidRPr="00A5537A" w:rsidRDefault="007F6026" w:rsidP="00EC64DD">
      <w:pPr>
        <w:tabs>
          <w:tab w:val="left" w:pos="360"/>
        </w:tabs>
        <w:ind w:left="360" w:hanging="360"/>
      </w:pPr>
    </w:p>
    <w:p w:rsidR="00D94FD5" w:rsidRDefault="007F6026" w:rsidP="00EC64DD">
      <w:pPr>
        <w:numPr>
          <w:ilvl w:val="0"/>
          <w:numId w:val="5"/>
        </w:numPr>
        <w:tabs>
          <w:tab w:val="left" w:pos="360"/>
        </w:tabs>
        <w:jc w:val="both"/>
      </w:pPr>
      <w:r w:rsidRPr="00A5537A">
        <w:t>The Panel notes that</w:t>
      </w:r>
      <w:r w:rsidR="00F85AF1">
        <w:t>, according to the documents provided by UNMIK,</w:t>
      </w:r>
      <w:r w:rsidRPr="00A5537A">
        <w:t xml:space="preserve"> from the moment UNMIK became aware of the matter until 23 April 2005, </w:t>
      </w:r>
      <w:r w:rsidR="00F85AF1">
        <w:t>the majority of</w:t>
      </w:r>
      <w:r w:rsidRPr="00A5537A">
        <w:t xml:space="preserve"> actions undertaken by UNMIK relate to the exhumation, identification and handing over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Pr="00754DBD">
        <w:t>’s mortal remains, whi</w:t>
      </w:r>
      <w:r w:rsidR="00F85AF1" w:rsidRPr="00754DBD">
        <w:t>ch were carried out between July 2000</w:t>
      </w:r>
      <w:r w:rsidRPr="00754DBD">
        <w:t xml:space="preserve"> and </w:t>
      </w:r>
      <w:r w:rsidR="00F85AF1" w:rsidRPr="00754DBD">
        <w:t>June 2004</w:t>
      </w:r>
      <w:r w:rsidRPr="00754DBD">
        <w:t>.</w:t>
      </w:r>
      <w:r w:rsidRPr="00A5537A">
        <w:t xml:space="preserve"> Although this must be considered in itself an </w:t>
      </w:r>
      <w:r w:rsidR="002A2F09" w:rsidRPr="00A5537A">
        <w:t xml:space="preserve">important </w:t>
      </w:r>
      <w:r w:rsidRPr="00A5537A">
        <w:t xml:space="preserve">achievement, the Panel recalls that the procedural obligation under Article 2 did not come to an end with the discovery of </w:t>
      </w:r>
      <w:r w:rsidRPr="00F85AF1">
        <w:t>the</w:t>
      </w:r>
      <w:r w:rsidR="00F85AF1" w:rsidRPr="00F85AF1">
        <w:t xml:space="preserve"> mortal remains</w:t>
      </w:r>
      <w:r w:rsidR="00F85AF1">
        <w:t xml:space="preserve">, especially as they showed signs of </w:t>
      </w:r>
      <w:r w:rsidR="00473F9B" w:rsidRPr="00A5537A">
        <w:t xml:space="preserve">possible </w:t>
      </w:r>
      <w:r w:rsidRPr="00A5537A">
        <w:t>violent death</w:t>
      </w:r>
      <w:r w:rsidR="00F85AF1">
        <w:t>s</w:t>
      </w:r>
      <w:r w:rsidRPr="00A5537A">
        <w:t>.</w:t>
      </w:r>
      <w:r w:rsidR="00BA4103" w:rsidRPr="00A5537A">
        <w:t xml:space="preserve"> </w:t>
      </w:r>
    </w:p>
    <w:p w:rsidR="00F85AF1" w:rsidRPr="00A5537A" w:rsidRDefault="00F85AF1" w:rsidP="00F85AF1">
      <w:pPr>
        <w:tabs>
          <w:tab w:val="left" w:pos="360"/>
        </w:tabs>
        <w:ind w:left="360"/>
        <w:jc w:val="both"/>
      </w:pPr>
    </w:p>
    <w:p w:rsidR="00F85AF1" w:rsidRPr="00754DBD" w:rsidRDefault="00915A75" w:rsidP="00F85AF1">
      <w:pPr>
        <w:numPr>
          <w:ilvl w:val="0"/>
          <w:numId w:val="5"/>
        </w:numPr>
        <w:tabs>
          <w:tab w:val="left" w:pos="360"/>
        </w:tabs>
        <w:jc w:val="both"/>
      </w:pPr>
      <w:r w:rsidRPr="00754DBD">
        <w:rPr>
          <w:color w:val="000000"/>
        </w:rPr>
        <w:t>T</w:t>
      </w:r>
      <w:r w:rsidR="00754DBD" w:rsidRPr="00754DBD">
        <w:rPr>
          <w:color w:val="000000"/>
        </w:rPr>
        <w:t>here are</w:t>
      </w:r>
      <w:r w:rsidR="00BA4103" w:rsidRPr="00754DBD">
        <w:rPr>
          <w:color w:val="000000"/>
        </w:rPr>
        <w:t xml:space="preserve"> indication</w:t>
      </w:r>
      <w:r w:rsidR="00754DBD" w:rsidRPr="00754DBD">
        <w:rPr>
          <w:color w:val="000000"/>
        </w:rPr>
        <w:t>s</w:t>
      </w:r>
      <w:r w:rsidR="00BA4103" w:rsidRPr="00754DBD">
        <w:rPr>
          <w:color w:val="000000"/>
        </w:rPr>
        <w:t xml:space="preserve"> that UNMIK Police</w:t>
      </w:r>
      <w:r w:rsidR="00F85AF1" w:rsidRPr="00754DBD">
        <w:rPr>
          <w:color w:val="000000"/>
        </w:rPr>
        <w:t xml:space="preserve"> to</w:t>
      </w:r>
      <w:r w:rsidR="00754DBD" w:rsidRPr="00754DBD">
        <w:rPr>
          <w:color w:val="000000"/>
        </w:rPr>
        <w:t>ok</w:t>
      </w:r>
      <w:r w:rsidR="00F85AF1" w:rsidRPr="00754DBD">
        <w:rPr>
          <w:color w:val="000000"/>
        </w:rPr>
        <w:t xml:space="preserve"> some</w:t>
      </w:r>
      <w:r w:rsidR="00BA4103" w:rsidRPr="00754DBD">
        <w:rPr>
          <w:color w:val="000000"/>
        </w:rPr>
        <w:t xml:space="preserve"> investigative s</w:t>
      </w:r>
      <w:r w:rsidR="000D0C46" w:rsidRPr="00754DBD">
        <w:rPr>
          <w:color w:val="000000"/>
        </w:rPr>
        <w:t>teps</w:t>
      </w:r>
      <w:r w:rsidRPr="00754DBD">
        <w:rPr>
          <w:color w:val="000000"/>
        </w:rPr>
        <w:t xml:space="preserve"> </w:t>
      </w:r>
      <w:r w:rsidRPr="00754DBD">
        <w:t xml:space="preserve">with respect to clarifying the circumstances surrounding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t>’’s abduction and killing</w:t>
      </w:r>
      <w:r w:rsidR="00F85AF1" w:rsidRPr="00754DBD">
        <w:rPr>
          <w:color w:val="000000"/>
        </w:rPr>
        <w:t xml:space="preserve"> in this respect</w:t>
      </w:r>
      <w:r w:rsidR="000D0C46" w:rsidRPr="00754DBD">
        <w:rPr>
          <w:color w:val="000000"/>
        </w:rPr>
        <w:t xml:space="preserve"> </w:t>
      </w:r>
      <w:r w:rsidR="00BA4103" w:rsidRPr="00754DBD">
        <w:rPr>
          <w:color w:val="000000"/>
        </w:rPr>
        <w:t xml:space="preserve">such as: </w:t>
      </w:r>
      <w:r w:rsidR="009A1A66" w:rsidRPr="00754DBD">
        <w:rPr>
          <w:color w:val="000000"/>
        </w:rPr>
        <w:t>interviewing the complainant</w:t>
      </w:r>
      <w:r w:rsidR="00F85AF1" w:rsidRPr="00754DBD">
        <w:rPr>
          <w:color w:val="000000"/>
        </w:rPr>
        <w:t>s and the family members of the other four victims whose bodies were found in the same drainage ditch</w:t>
      </w:r>
      <w:r w:rsidRPr="00754DBD">
        <w:rPr>
          <w:color w:val="000000"/>
        </w:rPr>
        <w:t xml:space="preserve"> as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t>’s bodies were found</w:t>
      </w:r>
      <w:r w:rsidR="00F85AF1" w:rsidRPr="00754DBD">
        <w:rPr>
          <w:color w:val="000000"/>
        </w:rPr>
        <w:t xml:space="preserve">, canvassing and </w:t>
      </w:r>
      <w:r w:rsidR="009A1A66" w:rsidRPr="00754DBD">
        <w:rPr>
          <w:color w:val="000000"/>
        </w:rPr>
        <w:t xml:space="preserve">interviewing potential witnesses among </w:t>
      </w:r>
      <w:proofErr w:type="spellStart"/>
      <w:r w:rsidR="00E62CDE" w:rsidRPr="00754DBD">
        <w:rPr>
          <w:color w:val="000000"/>
        </w:rPr>
        <w:t>neighbo</w:t>
      </w:r>
      <w:r w:rsidR="00B867ED" w:rsidRPr="00754DBD">
        <w:rPr>
          <w:color w:val="000000"/>
        </w:rPr>
        <w:t>u</w:t>
      </w:r>
      <w:r w:rsidR="00E62CDE" w:rsidRPr="00754DBD">
        <w:rPr>
          <w:color w:val="000000"/>
        </w:rPr>
        <w:t>rs</w:t>
      </w:r>
      <w:proofErr w:type="spellEnd"/>
      <w:r w:rsidR="000D0C46" w:rsidRPr="00754DBD">
        <w:rPr>
          <w:color w:val="000000"/>
        </w:rPr>
        <w:t>, searching</w:t>
      </w:r>
      <w:r w:rsidR="00D94FD5" w:rsidRPr="00754DBD">
        <w:rPr>
          <w:color w:val="000000"/>
        </w:rPr>
        <w:t xml:space="preserve"> the location</w:t>
      </w:r>
      <w:r w:rsidR="00F85AF1" w:rsidRPr="00754DBD">
        <w:rPr>
          <w:color w:val="000000"/>
        </w:rPr>
        <w:t xml:space="preserve"> where the bodies were</w:t>
      </w:r>
      <w:r w:rsidR="00BA4103" w:rsidRPr="00754DBD">
        <w:rPr>
          <w:color w:val="000000"/>
        </w:rPr>
        <w:t xml:space="preserve"> </w:t>
      </w:r>
      <w:r w:rsidR="007E039C" w:rsidRPr="00754DBD">
        <w:rPr>
          <w:color w:val="000000"/>
        </w:rPr>
        <w:t xml:space="preserve">initially </w:t>
      </w:r>
      <w:r w:rsidR="00715413" w:rsidRPr="00754DBD">
        <w:rPr>
          <w:color w:val="000000"/>
        </w:rPr>
        <w:t>found</w:t>
      </w:r>
      <w:r w:rsidR="00F85AF1" w:rsidRPr="00754DBD">
        <w:rPr>
          <w:color w:val="000000"/>
        </w:rPr>
        <w:t xml:space="preserve"> and interviewing the persons that found the bodies</w:t>
      </w:r>
      <w:r w:rsidR="007E039C" w:rsidRPr="00754DBD">
        <w:rPr>
          <w:color w:val="000000"/>
        </w:rPr>
        <w:t>,</w:t>
      </w:r>
      <w:r w:rsidR="00754DBD" w:rsidRPr="00754DBD">
        <w:rPr>
          <w:color w:val="000000"/>
        </w:rPr>
        <w:t xml:space="preserve"> </w:t>
      </w:r>
      <w:r w:rsidR="00754DBD" w:rsidRPr="00754DBD">
        <w:rPr>
          <w:lang w:val="en-GB"/>
        </w:rPr>
        <w:t>and requesting KFOR to release a video tape that British KFOR personnel had allegedly made documenting the crime scene in June 1999</w:t>
      </w:r>
      <w:r w:rsidR="007E039C" w:rsidRPr="00754DBD">
        <w:rPr>
          <w:color w:val="000000"/>
        </w:rPr>
        <w:t xml:space="preserve"> </w:t>
      </w:r>
      <w:r w:rsidR="00754DBD">
        <w:rPr>
          <w:color w:val="000000"/>
        </w:rPr>
        <w:t>(see § 29 and</w:t>
      </w:r>
      <w:r w:rsidR="00754DBD" w:rsidRPr="00754DBD">
        <w:rPr>
          <w:color w:val="000000"/>
        </w:rPr>
        <w:t xml:space="preserve"> § 31</w:t>
      </w:r>
      <w:r w:rsidR="00F85AF1" w:rsidRPr="00754DBD">
        <w:rPr>
          <w:color w:val="000000"/>
        </w:rPr>
        <w:t xml:space="preserve"> above). However, </w:t>
      </w:r>
      <w:r w:rsidR="00754DBD" w:rsidRPr="00754DBD">
        <w:rPr>
          <w:color w:val="000000"/>
        </w:rPr>
        <w:t xml:space="preserve">since the report that details that the police undertook these activities is missing many of its attachments, the Panel cannot verify to what extent these investigative steps occurred. For example, only three witness statements have been provided; there is no record that the </w:t>
      </w:r>
      <w:r w:rsidR="00754DBD">
        <w:rPr>
          <w:color w:val="000000"/>
        </w:rPr>
        <w:t>statement</w:t>
      </w:r>
      <w:r w:rsidR="00754DBD" w:rsidRPr="00754DBD">
        <w:rPr>
          <w:color w:val="000000"/>
        </w:rPr>
        <w:t xml:space="preserve"> of the complainant </w:t>
      </w:r>
      <w:r w:rsidR="00754DBD" w:rsidRPr="00754DBD">
        <w:rPr>
          <w:lang w:val="en-GB"/>
        </w:rPr>
        <w:t xml:space="preserve">Mrs </w:t>
      </w:r>
      <w:proofErr w:type="spellStart"/>
      <w:r w:rsidR="00754DBD" w:rsidRPr="00754DBD">
        <w:rPr>
          <w:lang w:val="en-GB"/>
        </w:rPr>
        <w:t>Snežana</w:t>
      </w:r>
      <w:proofErr w:type="spellEnd"/>
      <w:r w:rsidR="00754DBD" w:rsidRPr="00754DBD">
        <w:rPr>
          <w:lang w:val="en-GB"/>
        </w:rPr>
        <w:t xml:space="preserve"> </w:t>
      </w:r>
      <w:proofErr w:type="spellStart"/>
      <w:r w:rsidR="00754DBD" w:rsidRPr="00754DBD">
        <w:rPr>
          <w:lang w:val="en-GB"/>
        </w:rPr>
        <w:t>Milenković</w:t>
      </w:r>
      <w:proofErr w:type="spellEnd"/>
      <w:r w:rsidR="00754DBD">
        <w:rPr>
          <w:lang w:val="en-GB"/>
        </w:rPr>
        <w:t xml:space="preserve"> was ever taken, despite references in the file to a WCIU investigator requesting</w:t>
      </w:r>
      <w:r w:rsidR="00754DBD" w:rsidRPr="00754DBD">
        <w:rPr>
          <w:lang w:val="en-GB"/>
        </w:rPr>
        <w:t xml:space="preserve"> assistance from UNMIK in facilitating the investigator’s travel to Serbia to take statements from </w:t>
      </w:r>
      <w:r w:rsidR="00754DBD">
        <w:rPr>
          <w:lang w:val="en-GB"/>
        </w:rPr>
        <w:t>her (see § 32 above).</w:t>
      </w:r>
    </w:p>
    <w:p w:rsidR="00754DBD" w:rsidRPr="00A5537A" w:rsidRDefault="00754DBD" w:rsidP="00754DBD">
      <w:pPr>
        <w:tabs>
          <w:tab w:val="left" w:pos="360"/>
        </w:tabs>
        <w:ind w:left="360"/>
        <w:jc w:val="both"/>
      </w:pPr>
    </w:p>
    <w:p w:rsidR="00A86544" w:rsidRPr="00F85AF1" w:rsidRDefault="000D0C46" w:rsidP="00A86544">
      <w:pPr>
        <w:numPr>
          <w:ilvl w:val="0"/>
          <w:numId w:val="5"/>
        </w:numPr>
        <w:tabs>
          <w:tab w:val="left" w:pos="360"/>
        </w:tabs>
        <w:jc w:val="both"/>
        <w:rPr>
          <w:color w:val="FF0000"/>
        </w:rPr>
      </w:pPr>
      <w:r w:rsidRPr="00754DBD">
        <w:rPr>
          <w:color w:val="000000"/>
        </w:rPr>
        <w:t>Coming to the period within its jurisdiction, starting from 23 April 2005, the Panel notes that</w:t>
      </w:r>
      <w:r w:rsidR="00D94FD5" w:rsidRPr="00754DBD">
        <w:rPr>
          <w:color w:val="000000"/>
        </w:rPr>
        <w:t xml:space="preserve"> there is no evidence that</w:t>
      </w:r>
      <w:r w:rsidRPr="00754DBD">
        <w:rPr>
          <w:color w:val="000000"/>
        </w:rPr>
        <w:t xml:space="preserve"> basic investigative steps</w:t>
      </w:r>
      <w:r w:rsidR="00AE4434" w:rsidRPr="00754DBD">
        <w:t xml:space="preserve"> had been carried out</w:t>
      </w:r>
      <w:r w:rsidRPr="00754DBD">
        <w:rPr>
          <w:color w:val="000000"/>
        </w:rPr>
        <w:t>, such as</w:t>
      </w:r>
      <w:r w:rsidR="00F85AF1" w:rsidRPr="00754DBD">
        <w:rPr>
          <w:color w:val="000000"/>
        </w:rPr>
        <w:t xml:space="preserve"> interviewing both of the</w:t>
      </w:r>
      <w:r w:rsidRPr="00754DBD">
        <w:rPr>
          <w:color w:val="000000"/>
        </w:rPr>
        <w:t xml:space="preserve"> complainant</w:t>
      </w:r>
      <w:r w:rsidR="00F85AF1" w:rsidRPr="00754DBD">
        <w:rPr>
          <w:color w:val="000000"/>
        </w:rPr>
        <w:t>s</w:t>
      </w:r>
      <w:r w:rsidRPr="00754DBD">
        <w:rPr>
          <w:color w:val="000000"/>
        </w:rPr>
        <w:t xml:space="preserve"> </w:t>
      </w:r>
      <w:r w:rsidRPr="00754DBD">
        <w:t>and</w:t>
      </w:r>
      <w:r w:rsidR="00F85AF1" w:rsidRPr="00754DBD">
        <w:t xml:space="preserve"> all of the other</w:t>
      </w:r>
      <w:r w:rsidRPr="00754DBD">
        <w:t xml:space="preserve"> </w:t>
      </w:r>
      <w:r w:rsidR="009A1A66" w:rsidRPr="00754DBD">
        <w:t xml:space="preserve">possible </w:t>
      </w:r>
      <w:r w:rsidRPr="00754DBD">
        <w:t>witness</w:t>
      </w:r>
      <w:r w:rsidR="00D94FD5" w:rsidRPr="00754DBD">
        <w:t xml:space="preserve">es to </w:t>
      </w:r>
      <w:r w:rsidR="00DB2E6D" w:rsidRPr="00754DBD">
        <w:t xml:space="preserve">any </w:t>
      </w:r>
      <w:r w:rsidR="00D94FD5" w:rsidRPr="00754DBD">
        <w:t>abduction</w:t>
      </w:r>
      <w:r w:rsidR="00EC64DD" w:rsidRPr="00754DBD">
        <w:t xml:space="preserve"> </w:t>
      </w:r>
      <w:r w:rsidR="00DB2E6D" w:rsidRPr="00754DBD">
        <w:rPr>
          <w:color w:val="000000"/>
        </w:rPr>
        <w:t>that</w:t>
      </w:r>
      <w:r w:rsidR="00EC64DD" w:rsidRPr="00754DBD">
        <w:rPr>
          <w:color w:val="000000"/>
        </w:rPr>
        <w:t xml:space="preserve"> may have taken place</w:t>
      </w:r>
      <w:r w:rsidR="00DB2E6D" w:rsidRPr="00754DBD">
        <w:rPr>
          <w:color w:val="000000"/>
        </w:rPr>
        <w:t xml:space="preserve">. </w:t>
      </w:r>
      <w:r w:rsidR="00F85AF1" w:rsidRPr="00754DBD">
        <w:rPr>
          <w:color w:val="000000"/>
        </w:rPr>
        <w:t xml:space="preserve">For example, a case analysis report provided in the file from 2007 mentions that some but not all of the witnesses had given statements. </w:t>
      </w:r>
      <w:r w:rsidR="00641824" w:rsidRPr="00754DBD">
        <w:rPr>
          <w:lang w:val="en-GB"/>
        </w:rPr>
        <w:t>After</w:t>
      </w:r>
      <w:r w:rsidR="00641824" w:rsidRPr="00754DBD">
        <w:t xml:space="preserve"> </w:t>
      </w:r>
      <w:r w:rsidR="00754DBD" w:rsidRPr="00754DBD">
        <w:rPr>
          <w:color w:val="000000"/>
        </w:rPr>
        <w:t>23 April 2005</w:t>
      </w:r>
      <w:r w:rsidR="00754DBD">
        <w:rPr>
          <w:color w:val="000000"/>
        </w:rPr>
        <w:t xml:space="preserve"> </w:t>
      </w:r>
      <w:r w:rsidR="00641824" w:rsidRPr="00F85AF1">
        <w:t xml:space="preserve">the failure to conduct the necessary investigative actions persisted, thus, in accordance with the continuing obligation to investigate </w:t>
      </w:r>
      <w:r w:rsidR="00641824" w:rsidRPr="00F85AF1">
        <w:rPr>
          <w:color w:val="000000"/>
          <w:lang w:val="en-GB"/>
        </w:rPr>
        <w:t xml:space="preserve">(see § </w:t>
      </w:r>
      <w:r w:rsidR="0010066F">
        <w:rPr>
          <w:color w:val="000000"/>
        </w:rPr>
        <w:fldChar w:fldCharType="begin"/>
      </w:r>
      <w:r w:rsidR="00754DBD">
        <w:rPr>
          <w:color w:val="000000"/>
          <w:lang w:val="en-GB"/>
        </w:rPr>
        <w:instrText xml:space="preserve"> REF _Ref346123885 \r \h </w:instrText>
      </w:r>
      <w:r w:rsidR="0010066F">
        <w:rPr>
          <w:color w:val="000000"/>
        </w:rPr>
      </w:r>
      <w:r w:rsidR="0010066F">
        <w:rPr>
          <w:color w:val="000000"/>
        </w:rPr>
        <w:fldChar w:fldCharType="separate"/>
      </w:r>
      <w:r w:rsidR="00CD6AC2">
        <w:rPr>
          <w:color w:val="000000"/>
          <w:lang w:val="en-GB"/>
        </w:rPr>
        <w:t>44</w:t>
      </w:r>
      <w:r w:rsidR="0010066F">
        <w:rPr>
          <w:color w:val="000000"/>
        </w:rPr>
        <w:fldChar w:fldCharType="end"/>
      </w:r>
      <w:r w:rsidR="00641824" w:rsidRPr="00F85AF1">
        <w:rPr>
          <w:color w:val="000000"/>
          <w:lang w:val="en-GB"/>
        </w:rPr>
        <w:t xml:space="preserve"> above)</w:t>
      </w:r>
      <w:r w:rsidR="00641824" w:rsidRPr="00F85AF1">
        <w:t>, bringing the assessment of the whole investigation within the period of the Panel’s jurisdiction</w:t>
      </w:r>
      <w:r w:rsidR="007C502D" w:rsidRPr="00F85AF1">
        <w:t>.</w:t>
      </w:r>
    </w:p>
    <w:p w:rsidR="00D94FD5" w:rsidRPr="00A5537A" w:rsidRDefault="00D94FD5" w:rsidP="00EC64DD">
      <w:pPr>
        <w:pStyle w:val="ListParagraph"/>
        <w:tabs>
          <w:tab w:val="left" w:pos="360"/>
        </w:tabs>
        <w:ind w:left="360" w:hanging="360"/>
      </w:pPr>
    </w:p>
    <w:p w:rsidR="00F85AF1" w:rsidRPr="00F85AF1" w:rsidRDefault="000D0C46" w:rsidP="00F85AF1">
      <w:pPr>
        <w:pStyle w:val="ListParagraph"/>
        <w:numPr>
          <w:ilvl w:val="0"/>
          <w:numId w:val="5"/>
        </w:numPr>
        <w:tabs>
          <w:tab w:val="left" w:pos="360"/>
        </w:tabs>
        <w:autoSpaceDE w:val="0"/>
        <w:contextualSpacing/>
        <w:jc w:val="both"/>
        <w:rPr>
          <w:color w:val="000000"/>
          <w:lang w:val="en-GB" w:eastAsia="en-US"/>
        </w:rPr>
      </w:pPr>
      <w:r w:rsidRPr="00F85AF1">
        <w:rPr>
          <w:color w:val="000000"/>
        </w:rPr>
        <w:t xml:space="preserve">In addition, the Panel considers that, as those responsible for the crime had not been located, UNMIK was obligated to use the means at its disposal to regularly review the progress of the investigation to ensure that </w:t>
      </w:r>
      <w:r w:rsidR="00995F95" w:rsidRPr="00F85AF1">
        <w:rPr>
          <w:color w:val="000000"/>
        </w:rPr>
        <w:t xml:space="preserve">nothing had been overlooked and any new </w:t>
      </w:r>
      <w:r w:rsidR="00AE4434" w:rsidRPr="00F85AF1">
        <w:rPr>
          <w:color w:val="000000"/>
        </w:rPr>
        <w:t xml:space="preserve">evidence </w:t>
      </w:r>
      <w:r w:rsidR="00995F95" w:rsidRPr="00F85AF1">
        <w:rPr>
          <w:color w:val="000000"/>
        </w:rPr>
        <w:t>had been considered</w:t>
      </w:r>
      <w:r w:rsidR="00AA5985" w:rsidRPr="00F85AF1">
        <w:rPr>
          <w:color w:val="000000"/>
        </w:rPr>
        <w:t xml:space="preserve">, </w:t>
      </w:r>
      <w:r w:rsidRPr="00F85AF1">
        <w:rPr>
          <w:color w:val="000000"/>
        </w:rPr>
        <w:t>as</w:t>
      </w:r>
      <w:r w:rsidRPr="00F85AF1">
        <w:t xml:space="preserve"> well</w:t>
      </w:r>
      <w:r w:rsidRPr="00F85AF1">
        <w:rPr>
          <w:b/>
          <w:color w:val="0000CC"/>
        </w:rPr>
        <w:t xml:space="preserve"> </w:t>
      </w:r>
      <w:r w:rsidRPr="00F85AF1">
        <w:t>as to inform the relatives of</w:t>
      </w:r>
      <w:r w:rsidRPr="00F85AF1">
        <w:rPr>
          <w:b/>
          <w:color w:val="0000CC"/>
        </w:rPr>
        <w:t xml:space="preserve">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rPr>
          <w:color w:val="000000"/>
        </w:rPr>
        <w:t xml:space="preserve"> </w:t>
      </w:r>
      <w:r w:rsidRPr="00F85AF1">
        <w:rPr>
          <w:color w:val="000000"/>
        </w:rPr>
        <w:t>regarding any possible new leads of enquiry.</w:t>
      </w:r>
      <w:r w:rsidR="007C502D">
        <w:rPr>
          <w:color w:val="000000"/>
        </w:rPr>
        <w:t xml:space="preserve"> </w:t>
      </w:r>
      <w:r w:rsidRPr="00A5537A">
        <w:rPr>
          <w:color w:val="000000"/>
        </w:rPr>
        <w:t>However,</w:t>
      </w:r>
      <w:r w:rsidR="00F85AF1">
        <w:rPr>
          <w:color w:val="000000"/>
        </w:rPr>
        <w:t xml:space="preserve"> besides this one document from 2007,</w:t>
      </w:r>
      <w:r w:rsidRPr="00A5537A">
        <w:rPr>
          <w:color w:val="000000"/>
        </w:rPr>
        <w:t xml:space="preserve"> </w:t>
      </w:r>
      <w:r w:rsidR="00995F95" w:rsidRPr="00A5537A">
        <w:rPr>
          <w:color w:val="000000"/>
        </w:rPr>
        <w:t>there is no indication that any such review</w:t>
      </w:r>
      <w:r w:rsidRPr="00A5537A">
        <w:rPr>
          <w:color w:val="000000"/>
        </w:rPr>
        <w:t xml:space="preserve"> </w:t>
      </w:r>
      <w:r w:rsidR="009A1A66" w:rsidRPr="00A5537A">
        <w:rPr>
          <w:color w:val="000000"/>
        </w:rPr>
        <w:t xml:space="preserve">was ever </w:t>
      </w:r>
      <w:r w:rsidR="00995F95" w:rsidRPr="00A5537A">
        <w:rPr>
          <w:color w:val="000000"/>
        </w:rPr>
        <w:t>undertaken</w:t>
      </w:r>
      <w:r w:rsidR="009A1A66" w:rsidRPr="00A5537A">
        <w:rPr>
          <w:color w:val="000000"/>
        </w:rPr>
        <w:t>.</w:t>
      </w:r>
    </w:p>
    <w:p w:rsidR="00F85AF1" w:rsidRPr="00F85AF1" w:rsidRDefault="00F85AF1" w:rsidP="00F85AF1">
      <w:pPr>
        <w:pStyle w:val="ListParagraph"/>
        <w:autoSpaceDE w:val="0"/>
        <w:ind w:left="360"/>
        <w:contextualSpacing/>
        <w:jc w:val="both"/>
        <w:rPr>
          <w:color w:val="000000"/>
          <w:lang w:val="en-GB" w:eastAsia="en-US"/>
        </w:rPr>
      </w:pPr>
    </w:p>
    <w:p w:rsidR="00F85AF1" w:rsidRPr="00F85AF1" w:rsidRDefault="00DB2E6D" w:rsidP="00F85AF1">
      <w:pPr>
        <w:pStyle w:val="ListParagraph"/>
        <w:numPr>
          <w:ilvl w:val="0"/>
          <w:numId w:val="5"/>
        </w:numPr>
        <w:tabs>
          <w:tab w:val="left" w:pos="360"/>
        </w:tabs>
        <w:autoSpaceDE w:val="0"/>
        <w:contextualSpacing/>
        <w:jc w:val="both"/>
        <w:rPr>
          <w:color w:val="000000"/>
          <w:lang w:val="en-GB" w:eastAsia="en-US"/>
        </w:rPr>
      </w:pPr>
      <w:r w:rsidRPr="00F85AF1">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bookmarkStart w:id="26" w:name="_Ref342040362"/>
    </w:p>
    <w:p w:rsidR="00F85AF1" w:rsidRPr="00F85AF1" w:rsidRDefault="00F85AF1" w:rsidP="00F85AF1">
      <w:pPr>
        <w:pStyle w:val="ListParagraph"/>
        <w:autoSpaceDE w:val="0"/>
        <w:ind w:left="360"/>
        <w:contextualSpacing/>
        <w:jc w:val="both"/>
        <w:rPr>
          <w:color w:val="000000"/>
          <w:lang w:val="en-GB" w:eastAsia="en-US"/>
        </w:rPr>
      </w:pPr>
    </w:p>
    <w:p w:rsidR="00F85AF1" w:rsidRPr="00F85AF1" w:rsidRDefault="002649C2" w:rsidP="00F85AF1">
      <w:pPr>
        <w:pStyle w:val="ListParagraph"/>
        <w:numPr>
          <w:ilvl w:val="0"/>
          <w:numId w:val="5"/>
        </w:numPr>
        <w:tabs>
          <w:tab w:val="left" w:pos="360"/>
        </w:tabs>
        <w:autoSpaceDE w:val="0"/>
        <w:contextualSpacing/>
        <w:jc w:val="both"/>
        <w:rPr>
          <w:lang w:val="en-GB" w:eastAsia="en-US"/>
        </w:rPr>
      </w:pPr>
      <w:r w:rsidRPr="00F85AF1">
        <w:t>The Panel therefore considers that, having regard to all the circumstances of the particular case, not all reasonable steps were taken by UNMIK to identify the perpetrators and to bring them to justice. In this sense the Panel considers that the investigation was not adequate and did not comply with the requirements of promptness, expedition and effectiveness (see § 81 above), as required by Article 2.</w:t>
      </w:r>
    </w:p>
    <w:p w:rsidR="00F85AF1" w:rsidRPr="00F85AF1" w:rsidRDefault="00F85AF1" w:rsidP="00F85AF1">
      <w:pPr>
        <w:pStyle w:val="ListParagraph"/>
        <w:autoSpaceDE w:val="0"/>
        <w:ind w:left="360"/>
        <w:contextualSpacing/>
        <w:jc w:val="both"/>
        <w:rPr>
          <w:lang w:val="en-GB" w:eastAsia="en-US"/>
        </w:rPr>
      </w:pPr>
    </w:p>
    <w:p w:rsidR="00F85AF1" w:rsidRPr="00754DBD" w:rsidRDefault="00B67EAB" w:rsidP="00F85AF1">
      <w:pPr>
        <w:pStyle w:val="ListParagraph"/>
        <w:numPr>
          <w:ilvl w:val="0"/>
          <w:numId w:val="5"/>
        </w:numPr>
        <w:tabs>
          <w:tab w:val="left" w:pos="360"/>
        </w:tabs>
        <w:autoSpaceDE w:val="0"/>
        <w:contextualSpacing/>
        <w:jc w:val="both"/>
        <w:rPr>
          <w:lang w:val="en-GB" w:eastAsia="en-US"/>
        </w:rPr>
      </w:pPr>
      <w:r w:rsidRPr="00F85AF1">
        <w:t xml:space="preserve">As concerns the requirement of public scrutiny, the Panel recalls that Article 2 also requires the victim's next-of-kin to be involved in the investigation to the extent necessary to safeguard his or her legitimate interests. </w:t>
      </w:r>
      <w:r w:rsidRPr="00F85AF1">
        <w:rPr>
          <w:color w:val="000000"/>
        </w:rPr>
        <w:t>In this regard</w:t>
      </w:r>
      <w:r w:rsidR="00A54F53" w:rsidRPr="00F85AF1">
        <w:rPr>
          <w:lang w:val="en-GB"/>
        </w:rPr>
        <w:t>, the complainant</w:t>
      </w:r>
      <w:r w:rsidR="00754DBD">
        <w:rPr>
          <w:lang w:val="en-GB"/>
        </w:rPr>
        <w:t>s claim</w:t>
      </w:r>
      <w:r w:rsidR="00A54F53" w:rsidRPr="00F85AF1">
        <w:rPr>
          <w:lang w:val="en-GB"/>
        </w:rPr>
        <w:t xml:space="preserve"> that </w:t>
      </w:r>
      <w:r w:rsidR="00F85AF1" w:rsidRPr="00F85AF1">
        <w:rPr>
          <w:lang w:val="en-GB"/>
        </w:rPr>
        <w:t>t</w:t>
      </w:r>
      <w:r w:rsidR="00A54F53" w:rsidRPr="00F85AF1">
        <w:rPr>
          <w:lang w:val="en-GB"/>
        </w:rPr>
        <w:t>he</w:t>
      </w:r>
      <w:r w:rsidR="00F85AF1" w:rsidRPr="00F85AF1">
        <w:rPr>
          <w:lang w:val="en-GB"/>
        </w:rPr>
        <w:t>y</w:t>
      </w:r>
      <w:r w:rsidR="00754DBD">
        <w:rPr>
          <w:lang w:val="en-GB"/>
        </w:rPr>
        <w:t xml:space="preserve"> were</w:t>
      </w:r>
      <w:r w:rsidR="00A54F53" w:rsidRPr="00F85AF1">
        <w:rPr>
          <w:lang w:val="en-GB"/>
        </w:rPr>
        <w:t xml:space="preserve"> never informed about the steps taken by the investigators.</w:t>
      </w:r>
      <w:r w:rsidRPr="00F85AF1">
        <w:rPr>
          <w:color w:val="000000"/>
        </w:rPr>
        <w:t xml:space="preserve"> </w:t>
      </w:r>
      <w:r w:rsidR="00F3542E" w:rsidRPr="00F85AF1">
        <w:rPr>
          <w:lang w:val="en-GB"/>
        </w:rPr>
        <w:t>The Panel notes that the complainant</w:t>
      </w:r>
      <w:r w:rsidR="00F85AF1" w:rsidRPr="00F85AF1">
        <w:rPr>
          <w:lang w:val="en-GB"/>
        </w:rPr>
        <w:t>s</w:t>
      </w:r>
      <w:r w:rsidR="00F3542E" w:rsidRPr="00F85AF1">
        <w:rPr>
          <w:lang w:val="en-GB"/>
        </w:rPr>
        <w:t xml:space="preserve"> </w:t>
      </w:r>
      <w:r w:rsidR="00754DBD">
        <w:t>only communicated,</w:t>
      </w:r>
      <w:r w:rsidR="00BB0937">
        <w:t xml:space="preserve"> </w:t>
      </w:r>
      <w:r w:rsidR="00F3542E" w:rsidRPr="00F85AF1">
        <w:t>with</w:t>
      </w:r>
      <w:r w:rsidR="00F85AF1">
        <w:t xml:space="preserve"> the exception of one </w:t>
      </w:r>
      <w:r w:rsidR="00754DBD">
        <w:t>interview in 2002,</w:t>
      </w:r>
      <w:r w:rsidR="00F85AF1" w:rsidRPr="00754DBD">
        <w:t xml:space="preserve"> with UNMIK in </w:t>
      </w:r>
      <w:r w:rsidR="00F3542E" w:rsidRPr="00754DBD">
        <w:t xml:space="preserve">regard to the recovery, handover and burial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t>’</w:t>
      </w:r>
      <w:r w:rsidR="00F3542E" w:rsidRPr="00754DBD">
        <w:t>s mortal remains; the last communication</w:t>
      </w:r>
      <w:r w:rsidRPr="00754DBD">
        <w:t xml:space="preserve"> in this respect</w:t>
      </w:r>
      <w:r w:rsidR="00F3542E" w:rsidRPr="00754DBD">
        <w:t xml:space="preserve"> took place in </w:t>
      </w:r>
      <w:r w:rsidR="00F85AF1" w:rsidRPr="00754DBD">
        <w:t>June 2004</w:t>
      </w:r>
      <w:r w:rsidR="00F3542E" w:rsidRPr="00754DBD">
        <w:t>. As</w:t>
      </w:r>
      <w:r w:rsidR="00F85AF1" w:rsidRPr="00754DBD">
        <w:t xml:space="preserve"> the Panel has already noted, the file contains the record of only one statement that was taken</w:t>
      </w:r>
      <w:r w:rsidR="00F3542E" w:rsidRPr="00754DBD">
        <w:t xml:space="preserve"> from</w:t>
      </w:r>
      <w:r w:rsidR="00F85AF1" w:rsidRPr="00754DBD">
        <w:t xml:space="preserve"> one of</w:t>
      </w:r>
      <w:r w:rsidR="00F3542E" w:rsidRPr="00754DBD">
        <w:t xml:space="preserve"> the complainant</w:t>
      </w:r>
      <w:r w:rsidR="00F85AF1" w:rsidRPr="00754DBD">
        <w:t>s</w:t>
      </w:r>
      <w:r w:rsidR="00F3542E" w:rsidRPr="00754DBD">
        <w:t xml:space="preserve"> and no information was</w:t>
      </w:r>
      <w:r w:rsidR="00F85AF1" w:rsidRPr="00754DBD">
        <w:t xml:space="preserve"> ever</w:t>
      </w:r>
      <w:r w:rsidR="00F3542E" w:rsidRPr="00754DBD">
        <w:t xml:space="preserve"> given to</w:t>
      </w:r>
      <w:r w:rsidR="00F85AF1" w:rsidRPr="00754DBD">
        <w:t xml:space="preserve"> either of the complainants</w:t>
      </w:r>
      <w:r w:rsidR="00F3542E" w:rsidRPr="00754DBD">
        <w:t xml:space="preserve"> concerning the status of the investigation</w:t>
      </w:r>
      <w:r w:rsidR="004D4694" w:rsidRPr="00754DBD">
        <w:t>.</w:t>
      </w:r>
    </w:p>
    <w:p w:rsidR="00F85AF1" w:rsidRPr="00F85AF1" w:rsidRDefault="00F85AF1" w:rsidP="00F85AF1">
      <w:pPr>
        <w:pStyle w:val="ListParagraph"/>
        <w:autoSpaceDE w:val="0"/>
        <w:ind w:left="360"/>
        <w:contextualSpacing/>
        <w:jc w:val="both"/>
        <w:rPr>
          <w:color w:val="000000"/>
          <w:lang w:val="en-GB" w:eastAsia="en-US"/>
        </w:rPr>
      </w:pPr>
    </w:p>
    <w:p w:rsidR="00B67EAB" w:rsidRPr="00F85AF1" w:rsidRDefault="00A54F53" w:rsidP="00F85AF1">
      <w:pPr>
        <w:pStyle w:val="ListParagraph"/>
        <w:numPr>
          <w:ilvl w:val="0"/>
          <w:numId w:val="5"/>
        </w:numPr>
        <w:tabs>
          <w:tab w:val="left" w:pos="360"/>
        </w:tabs>
        <w:autoSpaceDE w:val="0"/>
        <w:contextualSpacing/>
        <w:jc w:val="both"/>
        <w:rPr>
          <w:color w:val="000000"/>
          <w:lang w:val="en-GB" w:eastAsia="en-US"/>
        </w:rPr>
      </w:pPr>
      <w:r w:rsidRPr="00F85AF1">
        <w:t>The Pan</w:t>
      </w:r>
      <w:r w:rsidR="00C67939" w:rsidRPr="00F85AF1">
        <w:t>el understands the complainant’s</w:t>
      </w:r>
      <w:r w:rsidRPr="00F85AF1">
        <w:t xml:space="preserve"> view that the extent of the information received was unsatisfactory. The Panel is also aware that in all cases, the victim’s next-of-kin must be involved in the procedure to the extent necessary to safeguard his or her legitimate interest (see </w:t>
      </w:r>
      <w:proofErr w:type="spellStart"/>
      <w:r w:rsidRPr="00F85AF1">
        <w:t>ECtHR</w:t>
      </w:r>
      <w:proofErr w:type="spellEnd"/>
      <w:r w:rsidR="000F013A" w:rsidRPr="00F85AF1">
        <w:t xml:space="preserve"> [GC]</w:t>
      </w:r>
      <w:r w:rsidRPr="00F85AF1">
        <w:t xml:space="preserve">, </w:t>
      </w:r>
      <w:proofErr w:type="spellStart"/>
      <w:r w:rsidRPr="00974624">
        <w:rPr>
          <w:i/>
        </w:rPr>
        <w:t>Tahsin</w:t>
      </w:r>
      <w:proofErr w:type="spellEnd"/>
      <w:r w:rsidRPr="00974624">
        <w:rPr>
          <w:i/>
        </w:rPr>
        <w:t xml:space="preserve"> </w:t>
      </w:r>
      <w:proofErr w:type="spellStart"/>
      <w:r w:rsidRPr="00974624">
        <w:rPr>
          <w:i/>
        </w:rPr>
        <w:t>Acar</w:t>
      </w:r>
      <w:proofErr w:type="spellEnd"/>
      <w:r w:rsidRPr="00974624">
        <w:rPr>
          <w:i/>
        </w:rPr>
        <w:t xml:space="preserve"> v</w:t>
      </w:r>
      <w:r w:rsidR="00974624">
        <w:rPr>
          <w:i/>
        </w:rPr>
        <w:t>.</w:t>
      </w:r>
      <w:r w:rsidRPr="00974624">
        <w:rPr>
          <w:i/>
        </w:rPr>
        <w:t xml:space="preserve"> Turkey</w:t>
      </w:r>
      <w:r w:rsidRPr="00F85AF1">
        <w:t>, no. 26307/95, judgment of 8 April 2004</w:t>
      </w:r>
      <w:r w:rsidR="000F013A" w:rsidRPr="00F85AF1">
        <w:t>, § 226, ECHR 2004-III</w:t>
      </w:r>
      <w:r w:rsidRPr="00F85AF1">
        <w:t xml:space="preserve">; </w:t>
      </w:r>
      <w:proofErr w:type="spellStart"/>
      <w:r w:rsidR="000F013A" w:rsidRPr="00F85AF1">
        <w:t>ECtHR</w:t>
      </w:r>
      <w:proofErr w:type="spellEnd"/>
      <w:r w:rsidR="000F013A" w:rsidRPr="00F85AF1">
        <w:t xml:space="preserve">, </w:t>
      </w:r>
      <w:proofErr w:type="spellStart"/>
      <w:r w:rsidRPr="00974624">
        <w:rPr>
          <w:i/>
        </w:rPr>
        <w:t>Taniş</w:t>
      </w:r>
      <w:proofErr w:type="spellEnd"/>
      <w:r w:rsidRPr="00974624">
        <w:rPr>
          <w:i/>
        </w:rPr>
        <w:t xml:space="preserve"> v Turkey</w:t>
      </w:r>
      <w:r w:rsidR="00974624">
        <w:t>,</w:t>
      </w:r>
      <w:r w:rsidRPr="00F85AF1">
        <w:t xml:space="preserve"> no. 65899/01, judgment of 2 August 2005, § 204</w:t>
      </w:r>
      <w:r w:rsidR="000F013A" w:rsidRPr="00F85AF1">
        <w:t>, ECHR 2005-VIII</w:t>
      </w:r>
      <w:r w:rsidRPr="00F85AF1">
        <w:t>).</w:t>
      </w:r>
      <w:r w:rsidR="00B67EAB" w:rsidRPr="00F85AF1">
        <w:t xml:space="preserve"> The Panel therefore considers that the investigation was no</w:t>
      </w:r>
      <w:r w:rsidR="00F85AF1">
        <w:t>t accessible to the complainant</w:t>
      </w:r>
      <w:r w:rsidR="00B67EAB" w:rsidRPr="00F85AF1">
        <w:t>s</w:t>
      </w:r>
      <w:r w:rsidR="00F85AF1">
        <w:t>’</w:t>
      </w:r>
      <w:r w:rsidR="00B67EAB" w:rsidRPr="00F85AF1">
        <w:t xml:space="preserve"> family as required by Article 2</w:t>
      </w:r>
      <w:r w:rsidR="00F85AF1">
        <w:t>.</w:t>
      </w:r>
    </w:p>
    <w:p w:rsidR="00A86544" w:rsidRPr="00A5537A" w:rsidRDefault="00A86544" w:rsidP="00F85AF1">
      <w:pPr>
        <w:tabs>
          <w:tab w:val="left" w:pos="360"/>
        </w:tabs>
        <w:suppressAutoHyphens/>
        <w:autoSpaceDE w:val="0"/>
        <w:autoSpaceDN w:val="0"/>
        <w:adjustRightInd w:val="0"/>
        <w:contextualSpacing/>
        <w:jc w:val="both"/>
        <w:rPr>
          <w:color w:val="000000"/>
          <w:lang w:val="en-GB"/>
        </w:rPr>
      </w:pPr>
    </w:p>
    <w:p w:rsidR="00B67EAB" w:rsidRPr="00A5537A" w:rsidRDefault="00B67EAB" w:rsidP="00EC64DD">
      <w:pPr>
        <w:numPr>
          <w:ilvl w:val="0"/>
          <w:numId w:val="5"/>
        </w:numPr>
        <w:tabs>
          <w:tab w:val="left" w:pos="360"/>
          <w:tab w:val="num" w:pos="450"/>
        </w:tabs>
        <w:autoSpaceDE w:val="0"/>
        <w:contextualSpacing/>
        <w:jc w:val="both"/>
        <w:rPr>
          <w:color w:val="000000"/>
          <w:lang w:val="en-GB"/>
        </w:rPr>
      </w:pPr>
      <w:r w:rsidRPr="00A5537A">
        <w:rPr>
          <w:color w:val="000000"/>
        </w:rPr>
        <w:t xml:space="preserve">In light of the deficiencies and shortcomings as described above, the Panel </w:t>
      </w:r>
      <w:r w:rsidRPr="00A5537A">
        <w:t>concludes</w:t>
      </w:r>
      <w:r w:rsidRPr="00A5537A">
        <w:rPr>
          <w:color w:val="000000"/>
        </w:rPr>
        <w:t xml:space="preserve"> that UNMIK failed to carry out an adequate and effective investigation into the </w:t>
      </w:r>
      <w:r w:rsidR="00F85AF1">
        <w:t>abduction</w:t>
      </w:r>
      <w:r w:rsidR="00F85AF1" w:rsidRPr="00F85AF1">
        <w:t xml:space="preserve"> and killing of </w:t>
      </w:r>
      <w:r w:rsidR="00F85AF1" w:rsidRPr="00754DBD">
        <w:rPr>
          <w:lang w:val="en-GB"/>
        </w:rPr>
        <w:t>their husband/brother and son</w:t>
      </w:r>
      <w:r w:rsidRPr="00A5537A">
        <w:rPr>
          <w:color w:val="000000"/>
        </w:rPr>
        <w:t>. There has been accordingly a vio</w:t>
      </w:r>
      <w:r w:rsidR="00C67939" w:rsidRPr="00A5537A">
        <w:rPr>
          <w:color w:val="000000"/>
        </w:rPr>
        <w:t>lation of Article 2</w:t>
      </w:r>
      <w:r w:rsidR="003D4315">
        <w:rPr>
          <w:color w:val="000000"/>
        </w:rPr>
        <w:t>,</w:t>
      </w:r>
      <w:r w:rsidR="00C67939" w:rsidRPr="00A5537A">
        <w:rPr>
          <w:color w:val="000000"/>
        </w:rPr>
        <w:t xml:space="preserve"> </w:t>
      </w:r>
      <w:r w:rsidR="003D4315" w:rsidRPr="00A5537A">
        <w:rPr>
          <w:color w:val="000000"/>
        </w:rPr>
        <w:t>procedural limb</w:t>
      </w:r>
      <w:r w:rsidR="003D4315">
        <w:rPr>
          <w:color w:val="000000"/>
        </w:rPr>
        <w:t>, of the ECHR.</w:t>
      </w:r>
    </w:p>
    <w:bookmarkEnd w:id="26"/>
    <w:p w:rsidR="009A1A66" w:rsidRDefault="009A1A66" w:rsidP="00F85AF1">
      <w:pPr>
        <w:tabs>
          <w:tab w:val="left" w:pos="360"/>
        </w:tabs>
        <w:autoSpaceDE w:val="0"/>
        <w:autoSpaceDN w:val="0"/>
        <w:adjustRightInd w:val="0"/>
        <w:jc w:val="both"/>
        <w:rPr>
          <w:bCs/>
        </w:rPr>
      </w:pPr>
    </w:p>
    <w:p w:rsidR="00BF26B8" w:rsidRPr="00A5537A" w:rsidRDefault="00BF26B8" w:rsidP="00F85AF1">
      <w:pPr>
        <w:tabs>
          <w:tab w:val="left" w:pos="360"/>
        </w:tabs>
        <w:autoSpaceDE w:val="0"/>
        <w:autoSpaceDN w:val="0"/>
        <w:adjustRightInd w:val="0"/>
        <w:jc w:val="both"/>
        <w:rPr>
          <w:bCs/>
        </w:rPr>
      </w:pPr>
    </w:p>
    <w:p w:rsidR="004D4AEA" w:rsidRDefault="00BE6FAD" w:rsidP="00EC64DD">
      <w:pPr>
        <w:tabs>
          <w:tab w:val="left" w:pos="360"/>
        </w:tabs>
        <w:ind w:left="360" w:hanging="360"/>
        <w:rPr>
          <w:b/>
        </w:rPr>
      </w:pPr>
      <w:r w:rsidRPr="00A5537A">
        <w:rPr>
          <w:b/>
        </w:rPr>
        <w:t>V. CONCLUDING COMMENTS AND RECOMMENDATIONS</w:t>
      </w:r>
    </w:p>
    <w:p w:rsidR="00BE6FAD" w:rsidRPr="00A5537A" w:rsidRDefault="00BE6FAD" w:rsidP="00F85AF1">
      <w:pPr>
        <w:tabs>
          <w:tab w:val="left" w:pos="360"/>
        </w:tabs>
      </w:pPr>
    </w:p>
    <w:p w:rsidR="00BE6FAD" w:rsidRPr="00A5537A" w:rsidRDefault="00BE6FAD" w:rsidP="00EC64DD">
      <w:pPr>
        <w:numPr>
          <w:ilvl w:val="0"/>
          <w:numId w:val="5"/>
        </w:numPr>
        <w:tabs>
          <w:tab w:val="left" w:pos="360"/>
          <w:tab w:val="num" w:pos="450"/>
        </w:tabs>
        <w:suppressAutoHyphens/>
        <w:autoSpaceDE w:val="0"/>
        <w:jc w:val="both"/>
        <w:rPr>
          <w:b/>
          <w:bCs/>
        </w:rPr>
      </w:pPr>
      <w:r w:rsidRPr="00A5537A">
        <w:t xml:space="preserve">In </w:t>
      </w:r>
      <w:r w:rsidRPr="00A5537A">
        <w:rPr>
          <w:lang w:val="en-GB"/>
        </w:rPr>
        <w:t>light</w:t>
      </w:r>
      <w:r w:rsidRPr="00A5537A">
        <w:t xml:space="preserve"> of the Panel’s findings in this case, the Panel is of the opinion that some form of </w:t>
      </w:r>
      <w:r w:rsidRPr="00A5537A">
        <w:rPr>
          <w:bCs/>
        </w:rPr>
        <w:t>reparation</w:t>
      </w:r>
      <w:r w:rsidRPr="00A5537A">
        <w:t xml:space="preserve"> is necessary.</w:t>
      </w:r>
    </w:p>
    <w:p w:rsidR="00BE6FAD" w:rsidRPr="00A5537A" w:rsidRDefault="00BE6FAD" w:rsidP="00EC64DD">
      <w:pPr>
        <w:pStyle w:val="ListParagraph"/>
        <w:tabs>
          <w:tab w:val="left" w:pos="360"/>
        </w:tabs>
        <w:ind w:left="360" w:hanging="360"/>
      </w:pPr>
    </w:p>
    <w:p w:rsidR="00BE6FAD" w:rsidRPr="00A5537A" w:rsidRDefault="00BE6FAD" w:rsidP="001D4D56">
      <w:pPr>
        <w:numPr>
          <w:ilvl w:val="0"/>
          <w:numId w:val="5"/>
        </w:numPr>
        <w:suppressAutoHyphens/>
        <w:autoSpaceDE w:val="0"/>
        <w:jc w:val="both"/>
        <w:rPr>
          <w:b/>
          <w:bCs/>
        </w:rPr>
      </w:pPr>
      <w:r w:rsidRPr="00A5537A">
        <w:t xml:space="preserve">The Panel notes that enforced disappearances and arbitrary killings constitute serious violations of human rights which the competent authorities are under an obligation to investigate and to bring perpetrators to justice under all circumstances. The Panel also notes that pursuant to United Nations Security Council Resolution 1244 (1999) UNMIK from 1999 to 2008 had the primary responsibility to effectively investigate and prosecute the </w:t>
      </w:r>
      <w:r w:rsidR="00F85AF1">
        <w:t>abduction and killing</w:t>
      </w:r>
      <w:r w:rsidRPr="00A5537A">
        <w:t xml:space="preserve">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Pr="00A5537A">
        <w:t xml:space="preserve">, and that its failure to do so </w:t>
      </w:r>
      <w:r w:rsidRPr="00A5537A">
        <w:rPr>
          <w:bCs/>
        </w:rPr>
        <w:t>constitutes</w:t>
      </w:r>
      <w:r w:rsidRPr="00A5537A">
        <w:t xml:space="preserve"> a further serious violation of the human rights of the victim</w:t>
      </w:r>
      <w:r w:rsidR="00F85AF1">
        <w:t>s and their</w:t>
      </w:r>
      <w:r w:rsidRPr="00A5537A">
        <w:t xml:space="preserve"> next-of-kin, in particular the right to have the </w:t>
      </w:r>
      <w:r w:rsidR="00A16C77" w:rsidRPr="00A5537A">
        <w:t>truth of the matter determined.</w:t>
      </w:r>
    </w:p>
    <w:p w:rsidR="00BE6FAD" w:rsidRPr="00A5537A" w:rsidRDefault="00BE6FAD" w:rsidP="00EC64DD">
      <w:pPr>
        <w:pStyle w:val="ListParagraph"/>
        <w:tabs>
          <w:tab w:val="left" w:pos="360"/>
        </w:tabs>
        <w:ind w:left="360" w:hanging="360"/>
        <w:rPr>
          <w:b/>
          <w:bCs/>
        </w:rPr>
      </w:pPr>
    </w:p>
    <w:p w:rsidR="00BE6FAD" w:rsidRPr="00A5537A" w:rsidRDefault="00BE6FAD" w:rsidP="00EC64DD">
      <w:pPr>
        <w:numPr>
          <w:ilvl w:val="0"/>
          <w:numId w:val="5"/>
        </w:numPr>
        <w:tabs>
          <w:tab w:val="left" w:pos="360"/>
          <w:tab w:val="num" w:pos="450"/>
        </w:tabs>
        <w:suppressAutoHyphens/>
        <w:autoSpaceDE w:val="0"/>
        <w:jc w:val="both"/>
        <w:rPr>
          <w:bCs/>
        </w:rPr>
      </w:pPr>
      <w:r w:rsidRPr="00A5537A">
        <w:rPr>
          <w:bCs/>
        </w:rPr>
        <w:t>The Panel notes the SRSG’s own concerns that the inadequate resources, especially at the outset of UNMIK’s mission, made compliance with UNMIK’s human rights obligations difficult to achieve.</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jc w:val="both"/>
        <w:rPr>
          <w:b/>
          <w:bCs/>
        </w:rPr>
      </w:pPr>
      <w:r w:rsidRPr="00A5537A">
        <w:t xml:space="preserve">It would normally be for UNMIK to take the appropriate measures in order to put an end to the </w:t>
      </w:r>
      <w:r w:rsidRPr="00A5537A">
        <w:rPr>
          <w:bCs/>
        </w:rPr>
        <w:t>violation</w:t>
      </w:r>
      <w:r w:rsidRPr="00A5537A">
        <w:t xml:space="preserve"> noted and to redress as far as possible the effects thereof. However, as the Panel noted above (see §</w:t>
      </w:r>
      <w:r w:rsidR="005D19AD" w:rsidRPr="00A5537A">
        <w:t xml:space="preserve"> </w:t>
      </w:r>
      <w:r w:rsidR="00094B86">
        <w:fldChar w:fldCharType="begin"/>
      </w:r>
      <w:r w:rsidR="00094B86">
        <w:instrText xml:space="preserve"> REF _Ref346123927 \r \h  \* MERGEFORMAT </w:instrText>
      </w:r>
      <w:r w:rsidR="00094B86">
        <w:fldChar w:fldCharType="separate"/>
      </w:r>
      <w:r w:rsidR="00CD6AC2">
        <w:t>19</w:t>
      </w:r>
      <w:r w:rsidR="00094B86">
        <w:fldChar w:fldCharType="end"/>
      </w:r>
      <w:r w:rsidRPr="00A5537A">
        <w:t xml:space="preserve">) UNMIK’s  responsibility with regard to </w:t>
      </w:r>
      <w:r w:rsidRPr="00A5537A">
        <w:rPr>
          <w:bCs/>
        </w:rPr>
        <w:t>the</w:t>
      </w:r>
      <w:r w:rsidRPr="00A5537A">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w:t>
      </w:r>
      <w:r w:rsidR="00C91DB9">
        <w:t>nternational human rights law.</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jc w:val="both"/>
        <w:rPr>
          <w:b/>
          <w:bCs/>
        </w:rPr>
      </w:pPr>
      <w:r w:rsidRPr="00A5537A">
        <w:t xml:space="preserve">The Panel considers that this factual situation does not relieve UNMIK from its </w:t>
      </w:r>
      <w:r w:rsidRPr="00A5537A">
        <w:rPr>
          <w:bCs/>
        </w:rPr>
        <w:t>obligation</w:t>
      </w:r>
      <w:r w:rsidRPr="00A5537A">
        <w:t xml:space="preserve"> to </w:t>
      </w:r>
      <w:r w:rsidRPr="00A5537A">
        <w:rPr>
          <w:bCs/>
        </w:rPr>
        <w:t>redress</w:t>
      </w:r>
      <w:r w:rsidRPr="00A5537A">
        <w:t xml:space="preserve"> as far as possible the effects of the violations for which it is responsible.</w:t>
      </w:r>
    </w:p>
    <w:p w:rsidR="00BE6FAD" w:rsidRPr="00A5537A" w:rsidRDefault="00BE6FAD" w:rsidP="00BE6FAD">
      <w:pPr>
        <w:suppressAutoHyphens/>
        <w:autoSpaceDE w:val="0"/>
        <w:ind w:left="450"/>
        <w:jc w:val="both"/>
        <w:rPr>
          <w:b/>
          <w:bCs/>
        </w:rPr>
      </w:pPr>
    </w:p>
    <w:p w:rsidR="00BE6FAD" w:rsidRPr="00A5537A" w:rsidRDefault="00C42B65" w:rsidP="001D4D56">
      <w:pPr>
        <w:suppressAutoHyphens/>
        <w:autoSpaceDE w:val="0"/>
        <w:ind w:left="360"/>
        <w:jc w:val="both"/>
        <w:rPr>
          <w:b/>
          <w:bCs/>
        </w:rPr>
      </w:pPr>
      <w:r w:rsidRPr="00A5537A">
        <w:rPr>
          <w:b/>
          <w:bCs/>
        </w:rPr>
        <w:t>With respect to the complainant</w:t>
      </w:r>
      <w:r w:rsidR="00F85AF1">
        <w:rPr>
          <w:b/>
          <w:bCs/>
        </w:rPr>
        <w:t>s</w:t>
      </w:r>
      <w:r w:rsidR="00BE6FAD" w:rsidRPr="00A5537A">
        <w:rPr>
          <w:b/>
          <w:bCs/>
        </w:rPr>
        <w:t xml:space="preserve"> and the case the Panel considers </w:t>
      </w:r>
      <w:r w:rsidR="00641824" w:rsidRPr="00A5537A">
        <w:rPr>
          <w:b/>
          <w:bCs/>
        </w:rPr>
        <w:t xml:space="preserve">it </w:t>
      </w:r>
      <w:r w:rsidR="00BE6FAD" w:rsidRPr="00A5537A">
        <w:rPr>
          <w:b/>
          <w:bCs/>
        </w:rPr>
        <w:t>appropriate that UNMIK:</w:t>
      </w:r>
    </w:p>
    <w:p w:rsidR="00BE6FAD" w:rsidRPr="00A5537A" w:rsidRDefault="00BE6FAD" w:rsidP="00BE6FAD">
      <w:pPr>
        <w:pStyle w:val="ListParagraph"/>
        <w:rPr>
          <w:b/>
          <w:bCs/>
        </w:rPr>
      </w:pPr>
    </w:p>
    <w:p w:rsidR="00BE6FAD" w:rsidRPr="00A5537A" w:rsidRDefault="00BE6FAD" w:rsidP="001D4D56">
      <w:pPr>
        <w:pStyle w:val="ListParagraph"/>
        <w:numPr>
          <w:ilvl w:val="2"/>
          <w:numId w:val="38"/>
        </w:numPr>
        <w:autoSpaceDE w:val="0"/>
        <w:ind w:left="630" w:hanging="270"/>
        <w:contextualSpacing/>
        <w:jc w:val="both"/>
        <w:rPr>
          <w:b/>
          <w:bCs/>
        </w:rPr>
      </w:pPr>
      <w:r w:rsidRPr="00A5537A">
        <w:t xml:space="preserve">In line with the </w:t>
      </w:r>
      <w:r w:rsidR="00E4269E">
        <w:t>case-law</w:t>
      </w:r>
      <w:r w:rsidRPr="00A5537A">
        <w:t xml:space="preserve"> of the European Court of Human Rights on situations of limited State jurisdiction (see ECtHR </w:t>
      </w:r>
      <w:r w:rsidR="00AD46F6" w:rsidRPr="00A5537A">
        <w:t>[GC]</w:t>
      </w:r>
      <w:r w:rsidRPr="00A5537A">
        <w:t xml:space="preserve">, </w:t>
      </w:r>
      <w:r w:rsidRPr="00A5537A">
        <w:rPr>
          <w:i/>
        </w:rPr>
        <w:t>Ilaşcu and Others v. Moldova and Russia</w:t>
      </w:r>
      <w:r w:rsidRPr="00A5537A">
        <w:t xml:space="preserve">, no. 48787/99, judgment of 8 July 2004, </w:t>
      </w:r>
      <w:r w:rsidR="00AD46F6" w:rsidRPr="00A5537A">
        <w:t xml:space="preserve">§ 333, </w:t>
      </w:r>
      <w:r w:rsidRPr="00A5537A">
        <w:t>ECHR 2004-</w:t>
      </w:r>
      <w:r w:rsidR="00AD46F6" w:rsidRPr="00A5537A">
        <w:t>VII</w:t>
      </w:r>
      <w:r w:rsidRPr="00A5537A">
        <w:t xml:space="preserve">; ECtHR, </w:t>
      </w:r>
      <w:r w:rsidRPr="00A5537A">
        <w:rPr>
          <w:i/>
        </w:rPr>
        <w:t xml:space="preserve">Al-Saadoon and Mufdhi v. </w:t>
      </w:r>
      <w:r w:rsidR="00AD46F6" w:rsidRPr="00A5537A">
        <w:rPr>
          <w:i/>
        </w:rPr>
        <w:t xml:space="preserve">the </w:t>
      </w:r>
      <w:r w:rsidRPr="00A5537A">
        <w:rPr>
          <w:i/>
        </w:rPr>
        <w:t>United Kingdom</w:t>
      </w:r>
      <w:r w:rsidRPr="00A5537A">
        <w:t>, no. 61498/08, judgment of 2 March 2010, § 171</w:t>
      </w:r>
      <w:r w:rsidR="00AD46F6" w:rsidRPr="00A5537A">
        <w:t>, ECHR 2010 (extracts)</w:t>
      </w:r>
      <w:r w:rsidRPr="00A5537A">
        <w:t xml:space="preserve">; ECtHR </w:t>
      </w:r>
      <w:r w:rsidR="00AD46F6" w:rsidRPr="00A5537A">
        <w:t>[GC]</w:t>
      </w:r>
      <w:r w:rsidRPr="00A5537A">
        <w:t xml:space="preserve">, </w:t>
      </w:r>
      <w:r w:rsidRPr="00A5537A">
        <w:rPr>
          <w:i/>
        </w:rPr>
        <w:t xml:space="preserve">Catan and Others v. </w:t>
      </w:r>
      <w:r w:rsidR="00AD46F6" w:rsidRPr="00A5537A">
        <w:rPr>
          <w:i/>
        </w:rPr>
        <w:t xml:space="preserve">Republic of </w:t>
      </w:r>
      <w:r w:rsidRPr="00A5537A">
        <w:rPr>
          <w:i/>
        </w:rPr>
        <w:t>Moldova and Russia</w:t>
      </w:r>
      <w:r w:rsidR="00AD46F6" w:rsidRPr="00A5537A">
        <w:rPr>
          <w:i/>
        </w:rPr>
        <w:t xml:space="preserve"> </w:t>
      </w:r>
      <w:r w:rsidR="00AD46F6" w:rsidRPr="00A5537A">
        <w:t>[GC]</w:t>
      </w:r>
      <w:r w:rsidRPr="00A5537A">
        <w:t>, nos. 43370/04</w:t>
      </w:r>
      <w:r w:rsidR="00AD46F6" w:rsidRPr="00A5537A">
        <w:t xml:space="preserve"> and others,</w:t>
      </w:r>
      <w:r w:rsidRPr="00A5537A">
        <w:t xml:space="preserve"> judgment of 19 October 2012, § 109), must </w:t>
      </w:r>
      <w:proofErr w:type="spellStart"/>
      <w:r w:rsidRPr="00A5537A">
        <w:t>endeavour</w:t>
      </w:r>
      <w:proofErr w:type="spellEnd"/>
      <w:r w:rsidRPr="00A5537A">
        <w:t xml:space="preserve">, with all the diplomatic means available to it </w:t>
      </w:r>
      <w:r w:rsidRPr="00A5537A">
        <w:rPr>
          <w:i/>
        </w:rPr>
        <w:t>vis-à-vis</w:t>
      </w:r>
      <w:r w:rsidRPr="00A5537A">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F85AF1">
        <w:t>abduction and killing</w:t>
      </w:r>
      <w:r w:rsidRPr="00A5537A">
        <w:t xml:space="preserve">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rsidRPr="00A5537A">
        <w:t xml:space="preserve"> </w:t>
      </w:r>
      <w:r w:rsidRPr="00A5537A">
        <w:t>will be established and that perpetrators will be brought to justice; the complainant</w:t>
      </w:r>
      <w:r w:rsidR="00F85AF1">
        <w:t>s</w:t>
      </w:r>
      <w:r w:rsidRPr="00A5537A">
        <w:t xml:space="preserve"> and/or other next-of-kin shall be informed of such proceedings and relevant documents shall be disclosed to them, as necessary;</w:t>
      </w:r>
    </w:p>
    <w:p w:rsidR="00BE6FAD" w:rsidRPr="00A5537A" w:rsidRDefault="00BE6FAD" w:rsidP="00BE6FAD">
      <w:pPr>
        <w:suppressAutoHyphens/>
        <w:autoSpaceDE w:val="0"/>
        <w:jc w:val="both"/>
        <w:rPr>
          <w:b/>
          <w:bCs/>
        </w:rPr>
      </w:pPr>
    </w:p>
    <w:p w:rsidR="00BE6FAD" w:rsidRPr="00A5537A" w:rsidRDefault="00BE6FAD" w:rsidP="001D4D56">
      <w:pPr>
        <w:pStyle w:val="ListParagraph"/>
        <w:numPr>
          <w:ilvl w:val="2"/>
          <w:numId w:val="38"/>
        </w:numPr>
        <w:autoSpaceDE w:val="0"/>
        <w:ind w:left="630" w:hanging="270"/>
        <w:contextualSpacing/>
        <w:jc w:val="both"/>
        <w:rPr>
          <w:bCs/>
        </w:rPr>
      </w:pPr>
      <w:r w:rsidRPr="00A5537A">
        <w:rPr>
          <w:bCs/>
        </w:rPr>
        <w:t xml:space="preserve">Publicly </w:t>
      </w:r>
      <w:r w:rsidRPr="001D4D56">
        <w:t>acknowledges</w:t>
      </w:r>
      <w:r w:rsidRPr="00A5537A">
        <w:rPr>
          <w:bCs/>
        </w:rPr>
        <w:t xml:space="preserve">, within a reasonable time, responsibility with respect to UNMIK’s </w:t>
      </w:r>
      <w:r w:rsidRPr="00A5537A">
        <w:t>failure</w:t>
      </w:r>
      <w:r w:rsidRPr="00A5537A">
        <w:rPr>
          <w:bCs/>
        </w:rPr>
        <w:t xml:space="preserve"> to adequately investigate </w:t>
      </w:r>
      <w:r w:rsidR="00F85AF1" w:rsidRPr="00A5537A">
        <w:t xml:space="preserve">the </w:t>
      </w:r>
      <w:r w:rsidR="00F85AF1">
        <w:t>abduction and killing</w:t>
      </w:r>
      <w:r w:rsidR="00F85AF1" w:rsidRPr="00A5537A">
        <w:t xml:space="preserve">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rsidRPr="00A5537A">
        <w:rPr>
          <w:bCs/>
        </w:rPr>
        <w:t xml:space="preserve"> </w:t>
      </w:r>
      <w:r w:rsidRPr="00A5537A">
        <w:rPr>
          <w:bCs/>
        </w:rPr>
        <w:t>and makes a public apology to the complainant</w:t>
      </w:r>
      <w:r w:rsidR="00F85AF1">
        <w:rPr>
          <w:bCs/>
        </w:rPr>
        <w:t>s and their</w:t>
      </w:r>
      <w:r w:rsidRPr="00A5537A">
        <w:rPr>
          <w:bCs/>
        </w:rPr>
        <w:t xml:space="preserve"> family in this regard; </w:t>
      </w:r>
    </w:p>
    <w:p w:rsidR="00BE6FAD" w:rsidRPr="00A5537A" w:rsidRDefault="00BE6FAD" w:rsidP="00BE6FAD">
      <w:pPr>
        <w:suppressAutoHyphens/>
        <w:autoSpaceDE w:val="0"/>
        <w:jc w:val="both"/>
        <w:rPr>
          <w:bCs/>
        </w:rPr>
      </w:pPr>
    </w:p>
    <w:p w:rsidR="00BE6FAD" w:rsidRPr="00A5537A" w:rsidRDefault="00BE6FAD" w:rsidP="001D4D56">
      <w:pPr>
        <w:pStyle w:val="ListParagraph"/>
        <w:numPr>
          <w:ilvl w:val="2"/>
          <w:numId w:val="38"/>
        </w:numPr>
        <w:autoSpaceDE w:val="0"/>
        <w:ind w:left="630" w:hanging="270"/>
        <w:contextualSpacing/>
        <w:jc w:val="both"/>
        <w:rPr>
          <w:bCs/>
        </w:rPr>
      </w:pPr>
      <w:r w:rsidRPr="00A5537A">
        <w:rPr>
          <w:bCs/>
        </w:rPr>
        <w:t xml:space="preserve">Takes </w:t>
      </w:r>
      <w:r w:rsidRPr="001D4D56">
        <w:t>appropriate</w:t>
      </w:r>
      <w:r w:rsidRPr="00A5537A">
        <w:rPr>
          <w:bCs/>
        </w:rPr>
        <w:t xml:space="preserve"> steps towards payment of adequate compensation of the complainant</w:t>
      </w:r>
      <w:r w:rsidR="00F85AF1">
        <w:rPr>
          <w:bCs/>
        </w:rPr>
        <w:t>s</w:t>
      </w:r>
      <w:r w:rsidRPr="00A5537A">
        <w:rPr>
          <w:bCs/>
        </w:rPr>
        <w:t xml:space="preserve"> for the mo</w:t>
      </w:r>
      <w:r w:rsidRPr="00A5537A">
        <w:t>r</w:t>
      </w:r>
      <w:r w:rsidRPr="00A5537A">
        <w:rPr>
          <w:bCs/>
        </w:rPr>
        <w:t>al damage suffered due to UNMIK’s failure to conduct an effective investigation as stated above.</w:t>
      </w:r>
    </w:p>
    <w:p w:rsidR="00BE6FAD" w:rsidRPr="00A5537A" w:rsidRDefault="00BE6FAD" w:rsidP="00BE6FAD">
      <w:pPr>
        <w:pStyle w:val="ListParagraph"/>
        <w:ind w:left="450"/>
        <w:rPr>
          <w:b/>
          <w:bCs/>
        </w:rPr>
      </w:pPr>
    </w:p>
    <w:p w:rsidR="00BE6FAD" w:rsidRPr="00A5537A" w:rsidRDefault="00BE6FAD" w:rsidP="001D4D56">
      <w:pPr>
        <w:suppressAutoHyphens/>
        <w:autoSpaceDE w:val="0"/>
        <w:ind w:left="360"/>
        <w:jc w:val="both"/>
        <w:rPr>
          <w:b/>
          <w:bCs/>
        </w:rPr>
      </w:pPr>
      <w:r w:rsidRPr="00A5537A">
        <w:rPr>
          <w:b/>
          <w:bCs/>
        </w:rPr>
        <w:t xml:space="preserve">The Panel also considers </w:t>
      </w:r>
      <w:r w:rsidR="00641824" w:rsidRPr="00A5537A">
        <w:rPr>
          <w:b/>
          <w:bCs/>
        </w:rPr>
        <w:t xml:space="preserve">it </w:t>
      </w:r>
      <w:r w:rsidRPr="00A5537A">
        <w:rPr>
          <w:b/>
          <w:bCs/>
        </w:rPr>
        <w:t>appropriate that UNMIK:</w:t>
      </w:r>
    </w:p>
    <w:p w:rsidR="00BE6FAD" w:rsidRPr="00A5537A" w:rsidRDefault="00BE6FAD" w:rsidP="00BE6FAD"/>
    <w:p w:rsidR="00BE6FAD" w:rsidRPr="00A5537A" w:rsidRDefault="00BE6FAD" w:rsidP="001D4D56">
      <w:pPr>
        <w:pStyle w:val="ListParagraph"/>
        <w:numPr>
          <w:ilvl w:val="2"/>
          <w:numId w:val="38"/>
        </w:numPr>
        <w:autoSpaceDE w:val="0"/>
        <w:ind w:left="630" w:hanging="270"/>
        <w:contextualSpacing/>
        <w:jc w:val="both"/>
      </w:pPr>
      <w:r w:rsidRPr="00A5537A">
        <w:t xml:space="preserve">In line with the UN General Assembly Resolution on “Basic Principles and Guidelines on the Right to a Remedy and Reparation for Victims of Gross Violations of </w:t>
      </w:r>
      <w:r w:rsidRPr="00A5537A">
        <w:rPr>
          <w:bCs/>
        </w:rPr>
        <w:t>International</w:t>
      </w:r>
      <w:r w:rsidRPr="00A5537A">
        <w:t xml:space="preserve">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2E28B8" w:rsidRPr="00A5537A" w:rsidRDefault="002E28B8" w:rsidP="002E28B8">
      <w:pPr>
        <w:pStyle w:val="ListParagraph"/>
      </w:pPr>
    </w:p>
    <w:p w:rsidR="00BE6FAD" w:rsidRPr="00A5537A" w:rsidRDefault="00BE6FAD" w:rsidP="001D4D56">
      <w:pPr>
        <w:pStyle w:val="ListParagraph"/>
        <w:numPr>
          <w:ilvl w:val="2"/>
          <w:numId w:val="38"/>
        </w:numPr>
        <w:autoSpaceDE w:val="0"/>
        <w:ind w:left="630" w:hanging="270"/>
        <w:contextualSpacing/>
        <w:jc w:val="both"/>
      </w:pPr>
      <w:r w:rsidRPr="00A5537A">
        <w:t xml:space="preserve">Takes appropriate steps before competent bodies of the United Nations, including the UN </w:t>
      </w:r>
      <w:r w:rsidRPr="00A5537A">
        <w:rPr>
          <w:bCs/>
        </w:rPr>
        <w:t>Secretary</w:t>
      </w:r>
      <w:r w:rsidRPr="00A5537A">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074F08" w:rsidRPr="00A5537A">
        <w:t>tive and independent monitoring.</w:t>
      </w:r>
    </w:p>
    <w:p w:rsidR="00BE6FAD" w:rsidRDefault="00BE6FAD" w:rsidP="00BE6FAD"/>
    <w:p w:rsidR="001D4D56" w:rsidRPr="00A5537A" w:rsidRDefault="001D4D56" w:rsidP="00BE6FAD"/>
    <w:p w:rsidR="00BE6FAD" w:rsidRPr="00A5537A" w:rsidRDefault="00BE6FAD" w:rsidP="00BE6FAD">
      <w:pPr>
        <w:pStyle w:val="Normal1"/>
        <w:spacing w:before="0" w:beforeAutospacing="0" w:after="0" w:afterAutospacing="0"/>
        <w:jc w:val="both"/>
        <w:rPr>
          <w:b/>
          <w:lang w:val="en-GB"/>
        </w:rPr>
      </w:pPr>
    </w:p>
    <w:p w:rsidR="00BE6FAD" w:rsidRPr="00A5537A" w:rsidRDefault="00BE6FAD" w:rsidP="00BE6FAD">
      <w:pPr>
        <w:pStyle w:val="Normal1"/>
        <w:spacing w:before="0" w:beforeAutospacing="0" w:after="0" w:afterAutospacing="0"/>
        <w:jc w:val="both"/>
        <w:rPr>
          <w:b/>
          <w:lang w:val="en-GB"/>
        </w:rPr>
      </w:pPr>
      <w:r w:rsidRPr="00A5537A">
        <w:rPr>
          <w:b/>
          <w:lang w:val="en-GB"/>
        </w:rPr>
        <w:t>FOR THESE REASONS,</w:t>
      </w:r>
    </w:p>
    <w:p w:rsidR="00BE6FAD" w:rsidRPr="00A5537A" w:rsidRDefault="00BE6FAD" w:rsidP="00BE6FAD">
      <w:pPr>
        <w:pStyle w:val="Normal1"/>
        <w:spacing w:before="0" w:beforeAutospacing="0" w:after="0" w:afterAutospacing="0"/>
        <w:jc w:val="both"/>
        <w:rPr>
          <w:b/>
          <w:lang w:val="en-GB"/>
        </w:rPr>
      </w:pPr>
    </w:p>
    <w:p w:rsidR="00BE6FAD" w:rsidRPr="00A5537A" w:rsidRDefault="00BE6FAD" w:rsidP="00BE6FAD">
      <w:pPr>
        <w:autoSpaceDE w:val="0"/>
        <w:autoSpaceDN w:val="0"/>
        <w:adjustRightInd w:val="0"/>
        <w:jc w:val="both"/>
      </w:pPr>
      <w:r w:rsidRPr="00A5537A">
        <w:t>The Panel, unanimously,</w:t>
      </w:r>
    </w:p>
    <w:p w:rsidR="00BE6FAD" w:rsidRPr="00A5537A" w:rsidRDefault="00BE6FAD" w:rsidP="00BE6FAD">
      <w:pPr>
        <w:autoSpaceDE w:val="0"/>
        <w:autoSpaceDN w:val="0"/>
        <w:adjustRightInd w:val="0"/>
        <w:jc w:val="both"/>
      </w:pPr>
    </w:p>
    <w:p w:rsidR="002E28B8" w:rsidRPr="00A5537A" w:rsidRDefault="002E28B8" w:rsidP="00BE6FAD">
      <w:pPr>
        <w:autoSpaceDE w:val="0"/>
        <w:autoSpaceDN w:val="0"/>
        <w:adjustRightInd w:val="0"/>
        <w:jc w:val="both"/>
      </w:pPr>
    </w:p>
    <w:p w:rsidR="00BE6FAD" w:rsidRPr="00A5537A" w:rsidRDefault="00BE6FAD" w:rsidP="00BE6FAD">
      <w:pPr>
        <w:pStyle w:val="JuList"/>
        <w:numPr>
          <w:ilvl w:val="0"/>
          <w:numId w:val="36"/>
        </w:numPr>
        <w:tabs>
          <w:tab w:val="clear" w:pos="567"/>
          <w:tab w:val="num" w:pos="720"/>
        </w:tabs>
        <w:ind w:left="360"/>
        <w:rPr>
          <w:b/>
        </w:rPr>
      </w:pPr>
      <w:r w:rsidRPr="00A5537A">
        <w:rPr>
          <w:b/>
        </w:rPr>
        <w:t>FINDS THAT THERE HAS BEEN A VIOLATION OF THE PROCEDURAL OBLIGATION UNDER ARTICLE 2 OF THE EUROPEAN CONVENTION ON HUMAN RIGHTS;</w:t>
      </w:r>
    </w:p>
    <w:p w:rsidR="002E28B8" w:rsidRPr="00A5537A" w:rsidRDefault="002E28B8" w:rsidP="00BE6FAD">
      <w:pPr>
        <w:pStyle w:val="JuList"/>
        <w:ind w:left="0" w:firstLine="0"/>
        <w:rPr>
          <w:b/>
          <w:bCs/>
          <w:lang w:eastAsia="en-US"/>
        </w:rPr>
      </w:pPr>
    </w:p>
    <w:p w:rsidR="00BE6FAD" w:rsidRPr="00A5537A" w:rsidRDefault="00BE6FAD" w:rsidP="00BE6FAD">
      <w:pPr>
        <w:pStyle w:val="JuList"/>
        <w:numPr>
          <w:ilvl w:val="0"/>
          <w:numId w:val="36"/>
        </w:numPr>
        <w:tabs>
          <w:tab w:val="clear" w:pos="567"/>
          <w:tab w:val="num" w:pos="720"/>
        </w:tabs>
        <w:ind w:left="360"/>
        <w:rPr>
          <w:b/>
          <w:bCs/>
          <w:lang w:eastAsia="en-US"/>
        </w:rPr>
      </w:pPr>
      <w:r w:rsidRPr="00A5537A">
        <w:rPr>
          <w:b/>
        </w:rPr>
        <w:t>RECOMMENDS</w:t>
      </w:r>
      <w:r w:rsidRPr="00A5537A">
        <w:rPr>
          <w:b/>
          <w:bCs/>
          <w:lang w:eastAsia="en-US"/>
        </w:rPr>
        <w:t xml:space="preserve"> THAT UNMIK:</w:t>
      </w:r>
    </w:p>
    <w:p w:rsidR="00BE6FAD" w:rsidRPr="00A5537A" w:rsidRDefault="00BE6FAD" w:rsidP="00BE6FAD">
      <w:pPr>
        <w:pStyle w:val="JuList"/>
        <w:ind w:left="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 xml:space="preserve">URGES EULEX AND OTHER COMPETENT AUTHORITIES IN KOSOVO TO TAKE ALL POSSIBLE STEPS IN ORDER TO ENSURE THAT THE CRIMINAL INVESTIGATION INTO THE </w:t>
      </w:r>
      <w:r w:rsidR="00F85AF1" w:rsidRPr="00F85AF1">
        <w:rPr>
          <w:b/>
          <w:bCs/>
          <w:lang w:val="en-US" w:eastAsia="en-US"/>
        </w:rPr>
        <w:t>ABDUCTION AND KILLING OF</w:t>
      </w:r>
      <w:r w:rsidR="008E75E1" w:rsidRPr="00F85AF1">
        <w:rPr>
          <w:b/>
          <w:bCs/>
          <w:lang w:val="en-US" w:eastAsia="en-US"/>
        </w:rPr>
        <w:t xml:space="preserve"> </w:t>
      </w:r>
      <w:r w:rsidR="00F85AF1" w:rsidRPr="00F85AF1">
        <w:rPr>
          <w:b/>
          <w:bCs/>
          <w:lang w:val="en-US" w:eastAsia="en-US"/>
        </w:rPr>
        <w:t>THE COMPLAINANTS’ HUSBAND/BROTHER AND SON</w:t>
      </w:r>
      <w:r w:rsidR="00F85AF1" w:rsidRPr="00F85AF1">
        <w:rPr>
          <w:b/>
          <w:bCs/>
          <w:color w:val="FF0000"/>
          <w:lang w:val="en-US" w:eastAsia="en-US"/>
        </w:rPr>
        <w:t xml:space="preserve"> </w:t>
      </w:r>
      <w:r w:rsidRPr="00A5537A">
        <w:rPr>
          <w:b/>
          <w:bCs/>
          <w:lang w:eastAsia="en-US"/>
        </w:rPr>
        <w:t>IS CONTINUED IN COMPLIANCE WITH ARTICLE 2 OF THE ECHR AND THAT THE PERPETRATORS ARE BROUGHT TO JUSTICE;</w:t>
      </w:r>
    </w:p>
    <w:p w:rsidR="00BE6FAD" w:rsidRPr="00A5537A" w:rsidRDefault="00BE6FAD" w:rsidP="00BE6FAD">
      <w:pPr>
        <w:pStyle w:val="JuList"/>
        <w:ind w:left="36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 xml:space="preserve">PUBLICLY ACKNOWLEDGES RESPONSIBILITY FOR ITS FAILURE TO CONDUCT AN EFFECTIVE INVESTIGATION INTO THE </w:t>
      </w:r>
      <w:r w:rsidR="00F85AF1" w:rsidRPr="00F85AF1">
        <w:rPr>
          <w:b/>
          <w:bCs/>
          <w:lang w:val="en-US" w:eastAsia="en-US"/>
        </w:rPr>
        <w:t>ABDUCTION AND KILLING OF THE COMPLAINANTS’ HUSBAND/BROTHER AND SON</w:t>
      </w:r>
      <w:r w:rsidR="00F85AF1" w:rsidRPr="00F85AF1">
        <w:rPr>
          <w:b/>
          <w:bCs/>
          <w:color w:val="FF0000"/>
          <w:lang w:val="en-US" w:eastAsia="en-US"/>
        </w:rPr>
        <w:t xml:space="preserve"> </w:t>
      </w:r>
      <w:r w:rsidRPr="00A5537A">
        <w:rPr>
          <w:b/>
          <w:bCs/>
          <w:lang w:eastAsia="en-US"/>
        </w:rPr>
        <w:t>AND MAKES A PUBLIC APOLOGY TO THE COMPLAINANT</w:t>
      </w:r>
      <w:r w:rsidR="00F85AF1">
        <w:rPr>
          <w:b/>
          <w:bCs/>
          <w:lang w:eastAsia="en-US"/>
        </w:rPr>
        <w:t>S</w:t>
      </w:r>
      <w:r w:rsidRPr="00A5537A">
        <w:rPr>
          <w:b/>
          <w:bCs/>
          <w:lang w:eastAsia="en-US"/>
        </w:rPr>
        <w:t xml:space="preserve">; </w:t>
      </w:r>
    </w:p>
    <w:p w:rsidR="00BE6FAD" w:rsidRPr="00A5537A" w:rsidRDefault="00BE6FAD" w:rsidP="00BE6FAD">
      <w:pPr>
        <w:pStyle w:val="JuList"/>
        <w:ind w:left="36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caps/>
          <w:lang w:val="en-US" w:eastAsia="en-US"/>
        </w:rPr>
        <w:t xml:space="preserve">TAKES </w:t>
      </w:r>
      <w:r w:rsidRPr="00A5537A">
        <w:rPr>
          <w:b/>
          <w:bCs/>
          <w:lang w:eastAsia="en-US"/>
        </w:rPr>
        <w:t>APPROPRIATE</w:t>
      </w:r>
      <w:r w:rsidRPr="00A5537A">
        <w:rPr>
          <w:b/>
          <w:bCs/>
          <w:caps/>
          <w:lang w:val="en-US" w:eastAsia="en-US"/>
        </w:rPr>
        <w:t xml:space="preserve"> STEPS TOWARDS PAYMENT OF ADEQUATE COMPENSATION OF THE COMPLAINANT</w:t>
      </w:r>
      <w:r w:rsidR="00F85AF1">
        <w:rPr>
          <w:b/>
          <w:bCs/>
          <w:caps/>
          <w:lang w:val="en-US" w:eastAsia="en-US"/>
        </w:rPr>
        <w:t>S</w:t>
      </w:r>
      <w:r w:rsidRPr="00A5537A">
        <w:rPr>
          <w:b/>
          <w:bCs/>
          <w:caps/>
          <w:lang w:val="en-US" w:eastAsia="en-US"/>
        </w:rPr>
        <w:t xml:space="preserve"> FOR MORAL DAMAGE</w:t>
      </w:r>
      <w:r w:rsidRPr="00A5537A">
        <w:rPr>
          <w:b/>
          <w:bCs/>
          <w:lang w:eastAsia="en-US"/>
        </w:rPr>
        <w:t>;</w:t>
      </w:r>
    </w:p>
    <w:p w:rsidR="00BE6FAD" w:rsidRPr="00A5537A" w:rsidRDefault="00BE6FAD" w:rsidP="00BE6FAD">
      <w:pPr>
        <w:pStyle w:val="JuList"/>
        <w:ind w:left="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APPROPRIATE STEPS TOWARDS THE REALISATION OF A FULL AND COMPREHENSIVE REPARATION PROGRAMME;</w:t>
      </w:r>
    </w:p>
    <w:p w:rsidR="00BE6FAD" w:rsidRPr="00A5537A" w:rsidRDefault="00BE6FAD" w:rsidP="00BE6FAD">
      <w:pPr>
        <w:pStyle w:val="ListParagraph"/>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APPROPRIATE STEPS AT THE UNITED NATIONS AS A GUARANTEE OF NON</w:t>
      </w:r>
      <w:r w:rsidR="004A76CF" w:rsidRPr="004A76CF">
        <w:rPr>
          <w:b/>
          <w:bCs/>
          <w:lang w:val="en-US" w:eastAsia="en-US"/>
        </w:rPr>
        <w:t>-</w:t>
      </w:r>
      <w:r w:rsidRPr="00A5537A">
        <w:rPr>
          <w:b/>
          <w:bCs/>
          <w:lang w:eastAsia="en-US"/>
        </w:rPr>
        <w:t>REPETITION;</w:t>
      </w:r>
    </w:p>
    <w:p w:rsidR="002E28B8" w:rsidRPr="00A5537A" w:rsidRDefault="002E28B8" w:rsidP="002E28B8">
      <w:pPr>
        <w:pStyle w:val="ListParagraph"/>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IMMEDIATE AND EFFECTIVE MEASURES TO IMPLEMENT THE RECOMMENDATIONS OF THE PANEL AND TO INFORM THE COMPLAINANT</w:t>
      </w:r>
      <w:r w:rsidR="00F85AF1">
        <w:rPr>
          <w:b/>
          <w:bCs/>
          <w:lang w:eastAsia="en-US"/>
        </w:rPr>
        <w:t>S</w:t>
      </w:r>
      <w:r w:rsidRPr="00A5537A">
        <w:rPr>
          <w:b/>
          <w:bCs/>
          <w:lang w:eastAsia="en-US"/>
        </w:rPr>
        <w:t xml:space="preserve"> AND THE PANEL ABOUT FURTHER DEVELOPMENTS IN THIS CASE.</w:t>
      </w:r>
    </w:p>
    <w:p w:rsidR="00BE6FAD" w:rsidRPr="00A5537A" w:rsidRDefault="00BE6FAD" w:rsidP="00BE6FAD"/>
    <w:p w:rsidR="00BE6FAD" w:rsidRPr="00A5537A" w:rsidRDefault="00BE6FAD" w:rsidP="00BE6FAD">
      <w:pPr>
        <w:tabs>
          <w:tab w:val="left" w:pos="357"/>
        </w:tabs>
        <w:autoSpaceDE w:val="0"/>
        <w:jc w:val="both"/>
      </w:pPr>
    </w:p>
    <w:p w:rsidR="00BE6FAD" w:rsidRPr="00A5537A" w:rsidRDefault="00BE6FAD" w:rsidP="00BE6FAD">
      <w:pPr>
        <w:tabs>
          <w:tab w:val="left" w:pos="357"/>
        </w:tabs>
        <w:autoSpaceDE w:val="0"/>
        <w:jc w:val="both"/>
      </w:pPr>
    </w:p>
    <w:p w:rsidR="00BE6FAD" w:rsidRDefault="00BE6FAD" w:rsidP="00BE6FAD">
      <w:pPr>
        <w:tabs>
          <w:tab w:val="left" w:pos="357"/>
        </w:tabs>
        <w:autoSpaceDE w:val="0"/>
        <w:jc w:val="both"/>
      </w:pPr>
    </w:p>
    <w:p w:rsidR="00BF26B8" w:rsidRPr="001D4D56" w:rsidRDefault="00BF26B8" w:rsidP="00BE6FAD">
      <w:pPr>
        <w:tabs>
          <w:tab w:val="left" w:pos="357"/>
        </w:tabs>
        <w:autoSpaceDE w:val="0"/>
        <w:jc w:val="both"/>
      </w:pPr>
    </w:p>
    <w:p w:rsidR="008655D3" w:rsidRPr="001D4D56" w:rsidRDefault="008655D3" w:rsidP="00BE6FAD">
      <w:pPr>
        <w:tabs>
          <w:tab w:val="left" w:pos="357"/>
        </w:tabs>
        <w:autoSpaceDE w:val="0"/>
        <w:jc w:val="both"/>
      </w:pPr>
    </w:p>
    <w:p w:rsidR="00BE6FAD" w:rsidRPr="00A5537A" w:rsidRDefault="00BE6FAD" w:rsidP="00BE6FAD">
      <w:pPr>
        <w:tabs>
          <w:tab w:val="left" w:pos="357"/>
        </w:tabs>
        <w:autoSpaceDE w:val="0"/>
        <w:jc w:val="both"/>
      </w:pPr>
    </w:p>
    <w:p w:rsidR="00B130F6" w:rsidRPr="00A5537A" w:rsidRDefault="00BF26B8" w:rsidP="00B130F6">
      <w:pPr>
        <w:autoSpaceDE w:val="0"/>
      </w:pPr>
      <w:r>
        <w:t xml:space="preserve">  </w:t>
      </w:r>
      <w:r w:rsidR="00BE6FAD" w:rsidRPr="00A5537A">
        <w:t>Andrey ANTONOV</w:t>
      </w:r>
      <w:r w:rsidR="00BE6FAD" w:rsidRPr="00A5537A">
        <w:tab/>
      </w:r>
      <w:r w:rsidR="00BE6FAD" w:rsidRPr="00A5537A">
        <w:tab/>
      </w:r>
      <w:r w:rsidR="00BE6FAD" w:rsidRPr="00A5537A">
        <w:tab/>
      </w:r>
      <w:r w:rsidR="00BE6FAD" w:rsidRPr="00A5537A">
        <w:tab/>
      </w:r>
      <w:r w:rsidR="00BE6FAD" w:rsidRPr="00A5537A">
        <w:tab/>
      </w:r>
      <w:r w:rsidR="00BE6FAD" w:rsidRPr="00A5537A">
        <w:tab/>
      </w:r>
      <w:r w:rsidR="00BE6FAD" w:rsidRPr="00A5537A">
        <w:tab/>
      </w:r>
      <w:r>
        <w:t xml:space="preserve"> </w:t>
      </w:r>
      <w:r w:rsidR="00BE6FAD" w:rsidRPr="00A5537A">
        <w:t>Marek NOWICKI</w:t>
      </w:r>
    </w:p>
    <w:p w:rsidR="00BE6FAD" w:rsidRPr="00A5537A" w:rsidRDefault="00B130F6" w:rsidP="00B130F6">
      <w:pPr>
        <w:autoSpaceDE w:val="0"/>
      </w:pPr>
      <w:r w:rsidRPr="00A5537A">
        <w:t xml:space="preserve">  </w:t>
      </w:r>
      <w:r w:rsidR="00BE6FAD" w:rsidRPr="00A5537A">
        <w:t xml:space="preserve">Executive Officer </w:t>
      </w:r>
      <w:r w:rsidR="00BE6FAD" w:rsidRPr="00A5537A">
        <w:tab/>
      </w:r>
      <w:r w:rsidR="00BE6FAD" w:rsidRPr="00A5537A">
        <w:tab/>
      </w:r>
      <w:r w:rsidR="00BE6FAD" w:rsidRPr="00A5537A">
        <w:tab/>
      </w:r>
      <w:r w:rsidRPr="00A5537A">
        <w:tab/>
      </w:r>
      <w:r w:rsidRPr="00A5537A">
        <w:tab/>
      </w:r>
      <w:r w:rsidRPr="00A5537A">
        <w:tab/>
      </w:r>
      <w:r w:rsidRPr="00A5537A">
        <w:tab/>
      </w:r>
      <w:r w:rsidR="003E2A7A" w:rsidRPr="00A5537A">
        <w:t xml:space="preserve"> </w:t>
      </w:r>
      <w:r w:rsidR="00BE6FAD" w:rsidRPr="00A5537A">
        <w:t>Presiding Member</w:t>
      </w:r>
    </w:p>
    <w:p w:rsidR="001D4D56" w:rsidRDefault="001D4D56">
      <w:pPr>
        <w:rPr>
          <w:i/>
        </w:rPr>
      </w:pPr>
      <w:r>
        <w:rPr>
          <w:i/>
        </w:rPr>
        <w:br w:type="page"/>
      </w:r>
    </w:p>
    <w:p w:rsidR="00284160" w:rsidRPr="00A5537A" w:rsidRDefault="00284160" w:rsidP="001D4D56">
      <w:pPr>
        <w:jc w:val="right"/>
        <w:rPr>
          <w:i/>
        </w:rPr>
      </w:pPr>
      <w:r w:rsidRPr="00A5537A">
        <w:rPr>
          <w:i/>
        </w:rPr>
        <w:t>Annex</w:t>
      </w:r>
    </w:p>
    <w:p w:rsidR="00284160" w:rsidRPr="00A5537A" w:rsidRDefault="00284160" w:rsidP="00284160"/>
    <w:p w:rsidR="00284160" w:rsidRPr="00A5537A" w:rsidRDefault="00284160" w:rsidP="00284160">
      <w:pPr>
        <w:jc w:val="center"/>
      </w:pPr>
      <w:r w:rsidRPr="00A5537A">
        <w:rPr>
          <w:b/>
        </w:rPr>
        <w:t>ABBREVIATIONS AND ACRONYMS</w:t>
      </w:r>
    </w:p>
    <w:p w:rsidR="00284160" w:rsidRDefault="00284160" w:rsidP="00284160">
      <w:pPr>
        <w:autoSpaceDE w:val="0"/>
        <w:jc w:val="both"/>
      </w:pPr>
    </w:p>
    <w:p w:rsidR="001D4D56" w:rsidRPr="00A5537A" w:rsidRDefault="001D4D56" w:rsidP="00284160">
      <w:pPr>
        <w:autoSpaceDE w:val="0"/>
        <w:jc w:val="both"/>
      </w:pPr>
    </w:p>
    <w:p w:rsidR="00284160" w:rsidRPr="001D4D56" w:rsidRDefault="00284160" w:rsidP="00284160">
      <w:pPr>
        <w:autoSpaceDE w:val="0"/>
        <w:spacing w:line="276" w:lineRule="auto"/>
        <w:ind w:left="540"/>
        <w:jc w:val="both"/>
      </w:pPr>
      <w:r w:rsidRPr="001D4D56">
        <w:rPr>
          <w:b/>
        </w:rPr>
        <w:t xml:space="preserve">CCIU </w:t>
      </w:r>
      <w:r w:rsidRPr="001D4D56">
        <w:t>- Central Criminal Investigation Unit</w:t>
      </w:r>
    </w:p>
    <w:p w:rsidR="00284160" w:rsidRPr="00A5537A" w:rsidRDefault="00284160" w:rsidP="00284160">
      <w:pPr>
        <w:autoSpaceDE w:val="0"/>
        <w:spacing w:line="276" w:lineRule="auto"/>
        <w:ind w:left="540"/>
        <w:jc w:val="both"/>
      </w:pPr>
      <w:r w:rsidRPr="00A5537A">
        <w:rPr>
          <w:b/>
        </w:rPr>
        <w:t xml:space="preserve">DOJ </w:t>
      </w:r>
      <w:r w:rsidRPr="00A5537A">
        <w:t>- Department of Justice</w:t>
      </w:r>
    </w:p>
    <w:p w:rsidR="00284160" w:rsidRPr="001D4D56" w:rsidRDefault="00284160" w:rsidP="00284160">
      <w:pPr>
        <w:autoSpaceDE w:val="0"/>
        <w:spacing w:line="276" w:lineRule="auto"/>
        <w:ind w:left="540"/>
        <w:jc w:val="both"/>
      </w:pPr>
      <w:r w:rsidRPr="001D4D56">
        <w:rPr>
          <w:b/>
        </w:rPr>
        <w:t>DPPO</w:t>
      </w:r>
      <w:r w:rsidRPr="001D4D56">
        <w:t xml:space="preserve"> - District Public Prosecutor’s Office</w:t>
      </w:r>
    </w:p>
    <w:p w:rsidR="00284160" w:rsidRPr="00A5537A" w:rsidRDefault="00284160" w:rsidP="00284160">
      <w:pPr>
        <w:autoSpaceDE w:val="0"/>
        <w:spacing w:line="276" w:lineRule="auto"/>
        <w:ind w:left="540"/>
        <w:jc w:val="both"/>
      </w:pPr>
      <w:r w:rsidRPr="00A5537A">
        <w:rPr>
          <w:b/>
        </w:rPr>
        <w:t>ECHR</w:t>
      </w:r>
      <w:r w:rsidRPr="00A5537A">
        <w:t xml:space="preserve"> - European Convention on Human Rights</w:t>
      </w:r>
    </w:p>
    <w:p w:rsidR="00284160" w:rsidRPr="00A5537A" w:rsidRDefault="00284160" w:rsidP="00284160">
      <w:pPr>
        <w:autoSpaceDE w:val="0"/>
        <w:spacing w:line="276" w:lineRule="auto"/>
        <w:ind w:left="540"/>
        <w:jc w:val="both"/>
      </w:pPr>
      <w:r w:rsidRPr="00A5537A">
        <w:rPr>
          <w:b/>
        </w:rPr>
        <w:t xml:space="preserve">ECtHR </w:t>
      </w:r>
      <w:r w:rsidRPr="00A5537A">
        <w:t xml:space="preserve">- European Court of Human Rights </w:t>
      </w:r>
    </w:p>
    <w:p w:rsidR="00284160" w:rsidRPr="00A5537A" w:rsidRDefault="00284160" w:rsidP="00284160">
      <w:pPr>
        <w:autoSpaceDE w:val="0"/>
        <w:spacing w:line="276" w:lineRule="auto"/>
        <w:ind w:left="540"/>
        <w:jc w:val="both"/>
      </w:pPr>
      <w:r w:rsidRPr="00A5537A">
        <w:rPr>
          <w:b/>
        </w:rPr>
        <w:t>EU</w:t>
      </w:r>
      <w:r w:rsidRPr="00A5537A">
        <w:t xml:space="preserve"> - European Union</w:t>
      </w:r>
    </w:p>
    <w:p w:rsidR="00284160" w:rsidRPr="00A5537A" w:rsidRDefault="00284160" w:rsidP="00284160">
      <w:pPr>
        <w:autoSpaceDE w:val="0"/>
        <w:spacing w:line="276" w:lineRule="auto"/>
        <w:ind w:left="540"/>
        <w:jc w:val="both"/>
      </w:pPr>
      <w:r w:rsidRPr="00A5537A">
        <w:rPr>
          <w:b/>
        </w:rPr>
        <w:t>EULEX</w:t>
      </w:r>
      <w:r w:rsidRPr="00A5537A">
        <w:t xml:space="preserve"> - European Union Rule of Law Mission in Kosovo</w:t>
      </w:r>
    </w:p>
    <w:p w:rsidR="00284160" w:rsidRPr="00A5537A" w:rsidRDefault="00284160" w:rsidP="00284160">
      <w:pPr>
        <w:autoSpaceDE w:val="0"/>
        <w:spacing w:line="276" w:lineRule="auto"/>
        <w:ind w:left="540"/>
        <w:jc w:val="both"/>
      </w:pPr>
      <w:r w:rsidRPr="00A5537A">
        <w:rPr>
          <w:b/>
        </w:rPr>
        <w:t xml:space="preserve">FRY </w:t>
      </w:r>
      <w:r w:rsidRPr="00A5537A">
        <w:t xml:space="preserve">- Federal Republic of Yugoslavia </w:t>
      </w:r>
    </w:p>
    <w:p w:rsidR="00C81172" w:rsidRPr="00A5537A" w:rsidRDefault="00C81172" w:rsidP="00284160">
      <w:pPr>
        <w:autoSpaceDE w:val="0"/>
        <w:spacing w:line="276" w:lineRule="auto"/>
        <w:ind w:left="540"/>
        <w:jc w:val="both"/>
        <w:rPr>
          <w:b/>
        </w:rPr>
      </w:pPr>
      <w:r w:rsidRPr="00A5537A">
        <w:rPr>
          <w:rFonts w:cs="CAGLHH+TimesNewRoman"/>
          <w:b/>
          <w:color w:val="000000"/>
          <w:lang w:val="en-GB"/>
        </w:rPr>
        <w:t>GC</w:t>
      </w:r>
      <w:r w:rsidRPr="00A5537A">
        <w:rPr>
          <w:rFonts w:cs="CAGLHH+TimesNewRoman"/>
          <w:color w:val="000000"/>
          <w:lang w:val="en-GB"/>
        </w:rPr>
        <w:t xml:space="preserve"> - Grand Chamber of the European Court</w:t>
      </w:r>
      <w:r w:rsidRPr="00A5537A">
        <w:t xml:space="preserve"> of Human Rights</w:t>
      </w:r>
    </w:p>
    <w:p w:rsidR="00284160" w:rsidRPr="00A5537A" w:rsidRDefault="00284160" w:rsidP="00284160">
      <w:pPr>
        <w:autoSpaceDE w:val="0"/>
        <w:spacing w:line="276" w:lineRule="auto"/>
        <w:ind w:left="540"/>
        <w:jc w:val="both"/>
      </w:pPr>
      <w:r w:rsidRPr="00A5537A">
        <w:rPr>
          <w:b/>
        </w:rPr>
        <w:t xml:space="preserve">HRAP </w:t>
      </w:r>
      <w:r w:rsidRPr="00A5537A">
        <w:t>- Human Rights Advisory Panel</w:t>
      </w:r>
    </w:p>
    <w:p w:rsidR="00284160" w:rsidRPr="00A5537A" w:rsidRDefault="00284160" w:rsidP="00284160">
      <w:pPr>
        <w:autoSpaceDE w:val="0"/>
        <w:spacing w:line="276" w:lineRule="auto"/>
        <w:ind w:left="540"/>
        <w:jc w:val="both"/>
      </w:pPr>
      <w:r w:rsidRPr="00A5537A">
        <w:rPr>
          <w:b/>
        </w:rPr>
        <w:t>HRC</w:t>
      </w:r>
      <w:r w:rsidRPr="00A5537A">
        <w:t xml:space="preserve"> - United Nation</w:t>
      </w:r>
      <w:r w:rsidR="00DB2E6D" w:rsidRPr="00A5537A">
        <w:t>s</w:t>
      </w:r>
      <w:r w:rsidRPr="00A5537A">
        <w:t xml:space="preserve"> Human Rights Committee</w:t>
      </w:r>
    </w:p>
    <w:p w:rsidR="00284160" w:rsidRPr="00A5537A" w:rsidRDefault="00284160" w:rsidP="00284160">
      <w:pPr>
        <w:autoSpaceDE w:val="0"/>
        <w:spacing w:line="276" w:lineRule="auto"/>
        <w:ind w:left="540"/>
        <w:jc w:val="both"/>
      </w:pPr>
      <w:r w:rsidRPr="00A5537A">
        <w:rPr>
          <w:b/>
        </w:rPr>
        <w:t xml:space="preserve">IACtHR </w:t>
      </w:r>
      <w:r w:rsidRPr="00A5537A">
        <w:t>- Inter-American Court of Human Rights</w:t>
      </w:r>
    </w:p>
    <w:p w:rsidR="00284160" w:rsidRPr="00A5537A" w:rsidRDefault="00284160" w:rsidP="00284160">
      <w:pPr>
        <w:autoSpaceDE w:val="0"/>
        <w:spacing w:line="276" w:lineRule="auto"/>
        <w:ind w:left="540"/>
        <w:jc w:val="both"/>
      </w:pPr>
      <w:r w:rsidRPr="00A5537A">
        <w:rPr>
          <w:b/>
        </w:rPr>
        <w:t xml:space="preserve">ICCPR </w:t>
      </w:r>
      <w:r w:rsidRPr="00A5537A">
        <w:t>- International Covenant on Civil and Political Rights</w:t>
      </w:r>
    </w:p>
    <w:p w:rsidR="00284160" w:rsidRPr="00A5537A" w:rsidRDefault="00284160" w:rsidP="00284160">
      <w:pPr>
        <w:autoSpaceDE w:val="0"/>
        <w:spacing w:line="276" w:lineRule="auto"/>
        <w:ind w:left="540"/>
        <w:jc w:val="both"/>
      </w:pPr>
      <w:r w:rsidRPr="00A5537A">
        <w:rPr>
          <w:b/>
        </w:rPr>
        <w:t>ICMP</w:t>
      </w:r>
      <w:r w:rsidRPr="00A5537A">
        <w:t xml:space="preserve"> - International Commission of Missing Persons</w:t>
      </w:r>
    </w:p>
    <w:p w:rsidR="00284160" w:rsidRPr="00A5537A" w:rsidRDefault="00284160" w:rsidP="00284160">
      <w:pPr>
        <w:autoSpaceDE w:val="0"/>
        <w:spacing w:line="276" w:lineRule="auto"/>
        <w:ind w:left="540"/>
        <w:jc w:val="both"/>
      </w:pPr>
      <w:r w:rsidRPr="00A5537A">
        <w:rPr>
          <w:b/>
        </w:rPr>
        <w:t>ICRC</w:t>
      </w:r>
      <w:r w:rsidRPr="00A5537A">
        <w:t xml:space="preserve"> - International Committee of the Red Cross</w:t>
      </w:r>
    </w:p>
    <w:p w:rsidR="00284160" w:rsidRPr="001D4D56" w:rsidRDefault="00284160" w:rsidP="00284160">
      <w:pPr>
        <w:autoSpaceDE w:val="0"/>
        <w:spacing w:line="276" w:lineRule="auto"/>
        <w:ind w:left="540"/>
        <w:jc w:val="both"/>
      </w:pPr>
      <w:r w:rsidRPr="001D4D56">
        <w:rPr>
          <w:b/>
        </w:rPr>
        <w:t xml:space="preserve">ICTY </w:t>
      </w:r>
      <w:r w:rsidRPr="001D4D56">
        <w:t>- International Criminal Tribunal for former Yugoslavia</w:t>
      </w:r>
    </w:p>
    <w:p w:rsidR="00284160" w:rsidRPr="00A5537A" w:rsidRDefault="00284160" w:rsidP="00284160">
      <w:pPr>
        <w:autoSpaceDE w:val="0"/>
        <w:spacing w:line="276" w:lineRule="auto"/>
        <w:ind w:left="540"/>
        <w:jc w:val="both"/>
      </w:pPr>
      <w:r w:rsidRPr="00A5537A">
        <w:rPr>
          <w:b/>
        </w:rPr>
        <w:t>KFOR</w:t>
      </w:r>
      <w:r w:rsidRPr="00A5537A">
        <w:t xml:space="preserve"> - International Security Force (commonly known as Kosovo Force)</w:t>
      </w:r>
    </w:p>
    <w:p w:rsidR="00284160" w:rsidRPr="00A5537A" w:rsidRDefault="00284160" w:rsidP="00284160">
      <w:pPr>
        <w:autoSpaceDE w:val="0"/>
        <w:spacing w:line="276" w:lineRule="auto"/>
        <w:ind w:left="540"/>
        <w:jc w:val="both"/>
      </w:pPr>
      <w:r w:rsidRPr="00A5537A">
        <w:rPr>
          <w:b/>
        </w:rPr>
        <w:t>KLA</w:t>
      </w:r>
      <w:r w:rsidRPr="00A5537A">
        <w:t xml:space="preserve"> - Kosovo Liberation Army</w:t>
      </w:r>
    </w:p>
    <w:p w:rsidR="00284160" w:rsidRDefault="00284160" w:rsidP="00284160">
      <w:pPr>
        <w:autoSpaceDE w:val="0"/>
        <w:spacing w:line="276" w:lineRule="auto"/>
        <w:ind w:left="540"/>
        <w:jc w:val="both"/>
      </w:pPr>
      <w:proofErr w:type="spellStart"/>
      <w:r w:rsidRPr="00A5537A">
        <w:rPr>
          <w:b/>
        </w:rPr>
        <w:t>MoU</w:t>
      </w:r>
      <w:proofErr w:type="spellEnd"/>
      <w:r w:rsidRPr="00A5537A">
        <w:rPr>
          <w:b/>
        </w:rPr>
        <w:t xml:space="preserve"> - </w:t>
      </w:r>
      <w:r w:rsidRPr="00A5537A">
        <w:t>Memorandum of Understanding</w:t>
      </w:r>
    </w:p>
    <w:p w:rsidR="00284160" w:rsidRPr="001D4D56" w:rsidRDefault="00284160" w:rsidP="00284160">
      <w:pPr>
        <w:autoSpaceDE w:val="0"/>
        <w:spacing w:line="276" w:lineRule="auto"/>
        <w:ind w:left="540"/>
        <w:jc w:val="both"/>
      </w:pPr>
      <w:r w:rsidRPr="001D4D56">
        <w:rPr>
          <w:b/>
        </w:rPr>
        <w:t xml:space="preserve">MPU </w:t>
      </w:r>
      <w:r w:rsidRPr="001D4D56">
        <w:t>- Missing Persons Unit</w:t>
      </w:r>
    </w:p>
    <w:p w:rsidR="00284160" w:rsidRPr="00A5537A" w:rsidRDefault="00284160" w:rsidP="00284160">
      <w:pPr>
        <w:autoSpaceDE w:val="0"/>
        <w:spacing w:line="276" w:lineRule="auto"/>
        <w:ind w:left="540"/>
        <w:jc w:val="both"/>
      </w:pPr>
      <w:r w:rsidRPr="00A5537A">
        <w:rPr>
          <w:b/>
        </w:rPr>
        <w:t>NATO</w:t>
      </w:r>
      <w:r w:rsidRPr="00A5537A">
        <w:t xml:space="preserve"> - North Atlantic Treaty Organization </w:t>
      </w:r>
    </w:p>
    <w:p w:rsidR="00284160" w:rsidRPr="00A5537A" w:rsidRDefault="00284160" w:rsidP="00284160">
      <w:pPr>
        <w:autoSpaceDE w:val="0"/>
        <w:spacing w:line="276" w:lineRule="auto"/>
        <w:ind w:left="540"/>
        <w:jc w:val="both"/>
      </w:pPr>
      <w:r w:rsidRPr="00A5537A">
        <w:rPr>
          <w:b/>
        </w:rPr>
        <w:t>OMPF</w:t>
      </w:r>
      <w:r w:rsidRPr="00A5537A">
        <w:t xml:space="preserve"> - Office on Missing Persons and Forensics</w:t>
      </w:r>
    </w:p>
    <w:p w:rsidR="00284160" w:rsidRPr="00A5537A" w:rsidRDefault="00284160" w:rsidP="00284160">
      <w:pPr>
        <w:autoSpaceDE w:val="0"/>
        <w:spacing w:line="276" w:lineRule="auto"/>
        <w:ind w:left="540"/>
        <w:jc w:val="both"/>
      </w:pPr>
      <w:r w:rsidRPr="00A5537A">
        <w:rPr>
          <w:b/>
        </w:rPr>
        <w:t>OSCE</w:t>
      </w:r>
      <w:r w:rsidRPr="00A5537A">
        <w:t xml:space="preserve"> - Organization for Security and Cooperation in Europe</w:t>
      </w:r>
    </w:p>
    <w:p w:rsidR="00D9577C" w:rsidRDefault="00D9577C" w:rsidP="00284160">
      <w:pPr>
        <w:autoSpaceDE w:val="0"/>
        <w:spacing w:line="276" w:lineRule="auto"/>
        <w:ind w:left="540"/>
        <w:jc w:val="both"/>
        <w:rPr>
          <w:b/>
        </w:rPr>
      </w:pPr>
      <w:r>
        <w:rPr>
          <w:b/>
        </w:rPr>
        <w:t xml:space="preserve">SCIU – </w:t>
      </w:r>
      <w:r w:rsidRPr="00D9577C">
        <w:t>Serious Crimes Investigation Unit</w:t>
      </w:r>
    </w:p>
    <w:p w:rsidR="00284160" w:rsidRPr="00A5537A" w:rsidRDefault="00284160" w:rsidP="00284160">
      <w:pPr>
        <w:autoSpaceDE w:val="0"/>
        <w:spacing w:line="276" w:lineRule="auto"/>
        <w:ind w:left="540"/>
        <w:jc w:val="both"/>
      </w:pPr>
      <w:r w:rsidRPr="00A5537A">
        <w:rPr>
          <w:b/>
        </w:rPr>
        <w:t>SRSG</w:t>
      </w:r>
      <w:r w:rsidRPr="00A5537A">
        <w:t xml:space="preserve"> - Special Representative of the Secretary-General </w:t>
      </w:r>
    </w:p>
    <w:p w:rsidR="00284160" w:rsidRPr="00A5537A" w:rsidRDefault="00284160" w:rsidP="00284160">
      <w:pPr>
        <w:autoSpaceDE w:val="0"/>
        <w:spacing w:line="276" w:lineRule="auto"/>
        <w:ind w:left="540"/>
        <w:jc w:val="both"/>
      </w:pPr>
      <w:r w:rsidRPr="00A5537A">
        <w:rPr>
          <w:b/>
        </w:rPr>
        <w:t>UN</w:t>
      </w:r>
      <w:r w:rsidRPr="00A5537A">
        <w:t xml:space="preserve"> - United Nations</w:t>
      </w:r>
    </w:p>
    <w:p w:rsidR="00284160" w:rsidRPr="00A5537A" w:rsidRDefault="00284160" w:rsidP="00284160">
      <w:pPr>
        <w:autoSpaceDE w:val="0"/>
        <w:spacing w:line="276" w:lineRule="auto"/>
        <w:ind w:left="540"/>
        <w:jc w:val="both"/>
      </w:pPr>
      <w:r w:rsidRPr="00A5537A">
        <w:rPr>
          <w:b/>
        </w:rPr>
        <w:t xml:space="preserve">UNHCR </w:t>
      </w:r>
      <w:r w:rsidRPr="00A5537A">
        <w:t>- United Nations High Commissioner for Refugees</w:t>
      </w:r>
    </w:p>
    <w:p w:rsidR="00284160" w:rsidRPr="00A5537A" w:rsidRDefault="00284160" w:rsidP="00284160">
      <w:pPr>
        <w:autoSpaceDE w:val="0"/>
        <w:spacing w:line="276" w:lineRule="auto"/>
        <w:ind w:left="540"/>
        <w:jc w:val="both"/>
      </w:pPr>
      <w:r w:rsidRPr="00A5537A">
        <w:rPr>
          <w:b/>
        </w:rPr>
        <w:t>UNMIK</w:t>
      </w:r>
      <w:r w:rsidRPr="00A5537A">
        <w:t xml:space="preserve"> - United Nations Interim Administration Mission in Kosovo </w:t>
      </w:r>
    </w:p>
    <w:p w:rsidR="00284160" w:rsidRPr="00A5537A" w:rsidRDefault="00284160" w:rsidP="00284160">
      <w:pPr>
        <w:autoSpaceDE w:val="0"/>
        <w:spacing w:line="276" w:lineRule="auto"/>
        <w:ind w:left="540"/>
        <w:jc w:val="both"/>
      </w:pPr>
      <w:r w:rsidRPr="00A5537A">
        <w:rPr>
          <w:b/>
        </w:rPr>
        <w:t>VRIC</w:t>
      </w:r>
      <w:r w:rsidRPr="00A5537A">
        <w:t xml:space="preserve"> - Victim Recovery and Identification Commission</w:t>
      </w:r>
    </w:p>
    <w:p w:rsidR="00284160" w:rsidRPr="00D9577C" w:rsidRDefault="00284160" w:rsidP="00284160">
      <w:pPr>
        <w:autoSpaceDE w:val="0"/>
        <w:spacing w:line="276" w:lineRule="auto"/>
        <w:ind w:left="540"/>
        <w:jc w:val="both"/>
      </w:pPr>
      <w:r w:rsidRPr="00D9577C">
        <w:rPr>
          <w:b/>
        </w:rPr>
        <w:t xml:space="preserve">WCIU </w:t>
      </w:r>
      <w:r w:rsidRPr="00D9577C">
        <w:t>- War Crimes Investigation Unit</w:t>
      </w:r>
    </w:p>
    <w:sectPr w:rsidR="00284160" w:rsidRPr="00D9577C" w:rsidSect="00BF26B8">
      <w:headerReference w:type="default" r:id="rId11"/>
      <w:pgSz w:w="12240" w:h="15840"/>
      <w:pgMar w:top="810" w:right="1467" w:bottom="126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AD" w:rsidRDefault="004D11AD">
      <w:r>
        <w:separator/>
      </w:r>
    </w:p>
  </w:endnote>
  <w:endnote w:type="continuationSeparator" w:id="0">
    <w:p w:rsidR="004D11AD" w:rsidRDefault="004D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AD" w:rsidRDefault="004D11AD">
      <w:r>
        <w:separator/>
      </w:r>
    </w:p>
  </w:footnote>
  <w:footnote w:type="continuationSeparator" w:id="0">
    <w:p w:rsidR="004D11AD" w:rsidRDefault="004D11AD">
      <w:r>
        <w:continuationSeparator/>
      </w:r>
    </w:p>
  </w:footnote>
  <w:footnote w:id="1">
    <w:p w:rsidR="00BB0937" w:rsidRPr="00DD3E1C" w:rsidRDefault="00BB0937" w:rsidP="001D4D56">
      <w:pPr>
        <w:pStyle w:val="FootnoteText"/>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A list of abbreviations and acronyms contained in the text can be found in the attached Annex.</w:t>
      </w:r>
    </w:p>
  </w:footnote>
  <w:footnote w:id="2">
    <w:p w:rsidR="00BB0937" w:rsidRPr="00680EF0" w:rsidRDefault="00BB0937" w:rsidP="005B71F4">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BB0937" w:rsidRPr="00DD3E1C" w:rsidRDefault="00BB0937" w:rsidP="00F85AF1">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database is available at: </w:t>
      </w:r>
      <w:hyperlink r:id="rId3" w:history="1">
        <w:r w:rsidRPr="00DD3E1C">
          <w:rPr>
            <w:rStyle w:val="Hyperlink"/>
            <w:rFonts w:ascii="Times New Roman" w:hAnsi="Times New Roman"/>
            <w:color w:val="auto"/>
            <w:sz w:val="20"/>
            <w:u w:val="none"/>
          </w:rPr>
          <w:t>http://www.ic-mp.org/fdmsweb/index.php?w=mp_details_popup&amp;l=en</w:t>
        </w:r>
      </w:hyperlink>
      <w:r w:rsidRPr="00DD3E1C">
        <w:rPr>
          <w:rFonts w:ascii="Times New Roman" w:hAnsi="Times New Roman"/>
          <w:sz w:val="20"/>
        </w:rPr>
        <w:t xml:space="preserve"> (</w:t>
      </w:r>
      <w:r>
        <w:rPr>
          <w:rFonts w:ascii="Times New Roman" w:hAnsi="Times New Roman"/>
          <w:sz w:val="20"/>
        </w:rPr>
        <w:t>accessed on 6</w:t>
      </w:r>
      <w:r w:rsidRPr="00414797">
        <w:rPr>
          <w:rFonts w:ascii="Times New Roman" w:hAnsi="Times New Roman"/>
          <w:sz w:val="20"/>
        </w:rPr>
        <w:t xml:space="preserve"> </w:t>
      </w:r>
      <w:r>
        <w:rPr>
          <w:rFonts w:ascii="Times New Roman" w:hAnsi="Times New Roman"/>
          <w:sz w:val="20"/>
        </w:rPr>
        <w:t>June</w:t>
      </w:r>
      <w:r w:rsidRPr="00414797">
        <w:rPr>
          <w:rFonts w:ascii="Times New Roman" w:hAnsi="Times New Roman"/>
          <w:sz w:val="20"/>
        </w:rPr>
        <w:t xml:space="preserve"> 2013).</w:t>
      </w:r>
    </w:p>
  </w:footnote>
  <w:footnote w:id="4">
    <w:p w:rsidR="00BB0937" w:rsidRPr="00DD3E1C" w:rsidRDefault="00BB0937" w:rsidP="00F85AF1">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database is available at: </w:t>
      </w:r>
      <w:hyperlink r:id="rId4" w:history="1">
        <w:r w:rsidRPr="00DD3E1C">
          <w:rPr>
            <w:rStyle w:val="Hyperlink"/>
            <w:rFonts w:ascii="Times New Roman" w:hAnsi="Times New Roman"/>
            <w:color w:val="auto"/>
            <w:sz w:val="20"/>
            <w:u w:val="none"/>
          </w:rPr>
          <w:t>http://www.ic-mp.org/fdmsweb/index.php?w=mp_details_popup&amp;l=en</w:t>
        </w:r>
      </w:hyperlink>
      <w:r w:rsidRPr="00DD3E1C">
        <w:rPr>
          <w:rFonts w:ascii="Times New Roman" w:hAnsi="Times New Roman"/>
          <w:sz w:val="20"/>
        </w:rPr>
        <w:t xml:space="preserve"> (</w:t>
      </w:r>
      <w:r>
        <w:rPr>
          <w:rFonts w:ascii="Times New Roman" w:hAnsi="Times New Roman"/>
          <w:sz w:val="20"/>
        </w:rPr>
        <w:t xml:space="preserve">accessed on </w:t>
      </w:r>
      <w:r w:rsidR="001D4D56">
        <w:rPr>
          <w:rFonts w:ascii="Times New Roman" w:hAnsi="Times New Roman"/>
          <w:sz w:val="20"/>
        </w:rPr>
        <w:t>6 June</w:t>
      </w:r>
      <w:r w:rsidRPr="00414797">
        <w:rPr>
          <w:rFonts w:ascii="Times New Roman" w:hAnsi="Times New Roman"/>
          <w:sz w:val="20"/>
        </w:rPr>
        <w:t xml:space="preserve"> 2013).</w:t>
      </w:r>
      <w:r w:rsidRPr="00DD3E1C">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37" w:rsidRPr="001A67D1" w:rsidRDefault="0010066F">
    <w:pPr>
      <w:pStyle w:val="Header"/>
      <w:jc w:val="right"/>
    </w:pPr>
    <w:r w:rsidRPr="00284160">
      <w:rPr>
        <w:sz w:val="22"/>
        <w:szCs w:val="22"/>
      </w:rPr>
      <w:fldChar w:fldCharType="begin"/>
    </w:r>
    <w:r w:rsidR="00BB0937" w:rsidRPr="00284160">
      <w:rPr>
        <w:sz w:val="22"/>
        <w:szCs w:val="22"/>
      </w:rPr>
      <w:instrText xml:space="preserve"> PAGE   \* MERGEFORMAT </w:instrText>
    </w:r>
    <w:r w:rsidRPr="00284160">
      <w:rPr>
        <w:sz w:val="22"/>
        <w:szCs w:val="22"/>
      </w:rPr>
      <w:fldChar w:fldCharType="separate"/>
    </w:r>
    <w:r w:rsidR="00D60201">
      <w:rPr>
        <w:noProof/>
        <w:sz w:val="22"/>
        <w:szCs w:val="22"/>
      </w:rPr>
      <w:t>22</w:t>
    </w:r>
    <w:r w:rsidRPr="00284160">
      <w:rPr>
        <w:sz w:val="22"/>
        <w:szCs w:val="22"/>
      </w:rPr>
      <w:fldChar w:fldCharType="end"/>
    </w:r>
  </w:p>
  <w:p w:rsidR="00BB0937" w:rsidRDefault="00BB0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13C09"/>
    <w:multiLevelType w:val="hybridMultilevel"/>
    <w:tmpl w:val="4F8AF2BC"/>
    <w:lvl w:ilvl="0" w:tplc="BEFE86F6">
      <w:start w:val="2"/>
      <w:numFmt w:val="bullet"/>
      <w:lvlText w:val="-"/>
      <w:lvlJc w:val="left"/>
      <w:pPr>
        <w:ind w:left="1080" w:hanging="360"/>
      </w:pPr>
      <w:rPr>
        <w:rFonts w:ascii="Arial" w:eastAsia="Times New Roman" w:hAnsi="Arial"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BEFE86F6">
      <w:start w:val="2"/>
      <w:numFmt w:val="bullet"/>
      <w:lvlText w:val="-"/>
      <w:lvlJc w:val="left"/>
      <w:pPr>
        <w:ind w:left="4680" w:hanging="360"/>
      </w:pPr>
      <w:rPr>
        <w:rFonts w:ascii="Arial" w:eastAsia="Times New Roman" w:hAnsi="Arial"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46383"/>
    <w:multiLevelType w:val="hybridMultilevel"/>
    <w:tmpl w:val="CDCC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2C42EA"/>
    <w:multiLevelType w:val="hybridMultilevel"/>
    <w:tmpl w:val="41EA1406"/>
    <w:lvl w:ilvl="0" w:tplc="F42252F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4594A"/>
    <w:multiLevelType w:val="hybridMultilevel"/>
    <w:tmpl w:val="FBF9A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935A4A"/>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961AC1"/>
    <w:multiLevelType w:val="hybridMultilevel"/>
    <w:tmpl w:val="7B08629C"/>
    <w:lvl w:ilvl="0" w:tplc="83FCFC5E">
      <w:start w:val="1"/>
      <w:numFmt w:val="decimal"/>
      <w:lvlText w:val="%1."/>
      <w:lvlJc w:val="left"/>
      <w:pPr>
        <w:tabs>
          <w:tab w:val="num" w:pos="540"/>
        </w:tabs>
        <w:ind w:left="540" w:hanging="360"/>
      </w:pPr>
      <w:rPr>
        <w:rFonts w:hint="default"/>
        <w:b w:val="0"/>
        <w:i w:val="0"/>
        <w:color w:val="auto"/>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C598E672"/>
    <w:lvl w:ilvl="0" w:tplc="C080603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E30AA1"/>
    <w:multiLevelType w:val="hybridMultilevel"/>
    <w:tmpl w:val="B2B8E284"/>
    <w:lvl w:ilvl="0" w:tplc="FED4B7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FED4B788">
      <w:numFmt w:val="bullet"/>
      <w:lvlText w:val="-"/>
      <w:lvlJc w:val="left"/>
      <w:pPr>
        <w:ind w:left="5400" w:hanging="360"/>
      </w:pPr>
      <w:rPr>
        <w:rFonts w:ascii="Times New Roman" w:eastAsia="Times New Roman" w:hAnsi="Times New Roman" w:cs="Times New Roman"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666FC2"/>
    <w:multiLevelType w:val="hybridMultilevel"/>
    <w:tmpl w:val="57A2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1526C"/>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3A0C1B"/>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86A4682"/>
    <w:multiLevelType w:val="hybridMultilevel"/>
    <w:tmpl w:val="78C8EF82"/>
    <w:lvl w:ilvl="0" w:tplc="D31A2F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0A7ED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E761DA"/>
    <w:multiLevelType w:val="hybridMultilevel"/>
    <w:tmpl w:val="49F49E22"/>
    <w:lvl w:ilvl="0" w:tplc="D79053E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
    <w:nsid w:val="504F367B"/>
    <w:multiLevelType w:val="hybridMultilevel"/>
    <w:tmpl w:val="6784AC44"/>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333BAB"/>
    <w:multiLevelType w:val="hybridMultilevel"/>
    <w:tmpl w:val="E5F20360"/>
    <w:lvl w:ilvl="0" w:tplc="E1421CC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590FD1"/>
    <w:multiLevelType w:val="hybridMultilevel"/>
    <w:tmpl w:val="B19089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413F09"/>
    <w:multiLevelType w:val="hybridMultilevel"/>
    <w:tmpl w:val="F80EE3AC"/>
    <w:lvl w:ilvl="0" w:tplc="CC626900">
      <w:start w:val="1"/>
      <w:numFmt w:val="decimal"/>
      <w:lvlText w:val="%1."/>
      <w:lvlJc w:val="left"/>
      <w:pPr>
        <w:tabs>
          <w:tab w:val="num" w:pos="360"/>
        </w:tabs>
        <w:ind w:left="360" w:hanging="360"/>
      </w:pPr>
      <w:rPr>
        <w:rFonts w:hint="default"/>
        <w:b w:val="0"/>
        <w:i w:val="0"/>
        <w:color w:val="00000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9">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0F5AD0"/>
    <w:multiLevelType w:val="hybridMultilevel"/>
    <w:tmpl w:val="E52444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E50D3D"/>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A27E66"/>
    <w:multiLevelType w:val="hybridMultilevel"/>
    <w:tmpl w:val="449C6054"/>
    <w:lvl w:ilvl="0" w:tplc="45BCA81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45BCA81A">
      <w:start w:val="2"/>
      <w:numFmt w:val="bullet"/>
      <w:lvlText w:val="-"/>
      <w:lvlJc w:val="left"/>
      <w:pPr>
        <w:ind w:left="4680" w:hanging="360"/>
      </w:pPr>
      <w:rPr>
        <w:rFonts w:ascii="Times New Roman" w:eastAsia="Times New Roman" w:hAnsi="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BB057F"/>
    <w:multiLevelType w:val="hybridMultilevel"/>
    <w:tmpl w:val="DA6879AE"/>
    <w:lvl w:ilvl="0" w:tplc="68BEA04E">
      <w:start w:val="1"/>
      <w:numFmt w:val="decimal"/>
      <w:lvlText w:val="%1."/>
      <w:lvlJc w:val="left"/>
      <w:pPr>
        <w:tabs>
          <w:tab w:val="num" w:pos="360"/>
        </w:tabs>
        <w:ind w:left="36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6">
    <w:nsid w:val="7E084F7B"/>
    <w:multiLevelType w:val="hybridMultilevel"/>
    <w:tmpl w:val="BF722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11"/>
  </w:num>
  <w:num w:numId="4">
    <w:abstractNumId w:val="15"/>
  </w:num>
  <w:num w:numId="5">
    <w:abstractNumId w:val="45"/>
  </w:num>
  <w:num w:numId="6">
    <w:abstractNumId w:val="25"/>
  </w:num>
  <w:num w:numId="7">
    <w:abstractNumId w:val="21"/>
  </w:num>
  <w:num w:numId="8">
    <w:abstractNumId w:val="43"/>
  </w:num>
  <w:num w:numId="9">
    <w:abstractNumId w:val="4"/>
  </w:num>
  <w:num w:numId="10">
    <w:abstractNumId w:val="35"/>
  </w:num>
  <w:num w:numId="11">
    <w:abstractNumId w:val="27"/>
  </w:num>
  <w:num w:numId="12">
    <w:abstractNumId w:val="7"/>
  </w:num>
  <w:num w:numId="13">
    <w:abstractNumId w:val="16"/>
  </w:num>
  <w:num w:numId="14">
    <w:abstractNumId w:val="28"/>
  </w:num>
  <w:num w:numId="15">
    <w:abstractNumId w:val="36"/>
  </w:num>
  <w:num w:numId="16">
    <w:abstractNumId w:val="30"/>
  </w:num>
  <w:num w:numId="17">
    <w:abstractNumId w:val="0"/>
  </w:num>
  <w:num w:numId="18">
    <w:abstractNumId w:val="13"/>
  </w:num>
  <w:num w:numId="19">
    <w:abstractNumId w:val="41"/>
  </w:num>
  <w:num w:numId="20">
    <w:abstractNumId w:val="23"/>
  </w:num>
  <w:num w:numId="21">
    <w:abstractNumId w:val="5"/>
  </w:num>
  <w:num w:numId="22">
    <w:abstractNumId w:val="9"/>
  </w:num>
  <w:num w:numId="23">
    <w:abstractNumId w:val="39"/>
  </w:num>
  <w:num w:numId="24">
    <w:abstractNumId w:val="8"/>
  </w:num>
  <w:num w:numId="25">
    <w:abstractNumId w:val="19"/>
  </w:num>
  <w:num w:numId="26">
    <w:abstractNumId w:val="29"/>
  </w:num>
  <w:num w:numId="27">
    <w:abstractNumId w:val="44"/>
  </w:num>
  <w:num w:numId="28">
    <w:abstractNumId w:val="31"/>
  </w:num>
  <w:num w:numId="29">
    <w:abstractNumId w:val="34"/>
  </w:num>
  <w:num w:numId="30">
    <w:abstractNumId w:val="22"/>
  </w:num>
  <w:num w:numId="31">
    <w:abstractNumId w:val="32"/>
  </w:num>
  <w:num w:numId="32">
    <w:abstractNumId w:val="38"/>
  </w:num>
  <w:num w:numId="33">
    <w:abstractNumId w:val="6"/>
  </w:num>
  <w:num w:numId="34">
    <w:abstractNumId w:val="24"/>
  </w:num>
  <w:num w:numId="35">
    <w:abstractNumId w:val="20"/>
  </w:num>
  <w:num w:numId="36">
    <w:abstractNumId w:val="37"/>
  </w:num>
  <w:num w:numId="37">
    <w:abstractNumId w:val="3"/>
  </w:num>
  <w:num w:numId="38">
    <w:abstractNumId w:val="2"/>
  </w:num>
  <w:num w:numId="39">
    <w:abstractNumId w:val="12"/>
  </w:num>
  <w:num w:numId="40">
    <w:abstractNumId w:val="17"/>
  </w:num>
  <w:num w:numId="41">
    <w:abstractNumId w:val="26"/>
  </w:num>
  <w:num w:numId="42">
    <w:abstractNumId w:val="33"/>
  </w:num>
  <w:num w:numId="43">
    <w:abstractNumId w:val="18"/>
  </w:num>
  <w:num w:numId="44">
    <w:abstractNumId w:val="10"/>
  </w:num>
  <w:num w:numId="45">
    <w:abstractNumId w:val="42"/>
  </w:num>
  <w:num w:numId="46">
    <w:abstractNumId w:val="40"/>
  </w:num>
  <w:num w:numId="47">
    <w:abstractNumId w:val="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EE4"/>
    <w:rsid w:val="0000536C"/>
    <w:rsid w:val="00005EDC"/>
    <w:rsid w:val="0000633A"/>
    <w:rsid w:val="00012218"/>
    <w:rsid w:val="00015330"/>
    <w:rsid w:val="000204B4"/>
    <w:rsid w:val="00025BD8"/>
    <w:rsid w:val="00025D67"/>
    <w:rsid w:val="0003125D"/>
    <w:rsid w:val="00033882"/>
    <w:rsid w:val="000371C6"/>
    <w:rsid w:val="00041AD7"/>
    <w:rsid w:val="00056A99"/>
    <w:rsid w:val="00057B23"/>
    <w:rsid w:val="00064E34"/>
    <w:rsid w:val="000709F0"/>
    <w:rsid w:val="00074F08"/>
    <w:rsid w:val="00076936"/>
    <w:rsid w:val="00077DE9"/>
    <w:rsid w:val="000850E6"/>
    <w:rsid w:val="000852EC"/>
    <w:rsid w:val="00092686"/>
    <w:rsid w:val="00092903"/>
    <w:rsid w:val="00094B86"/>
    <w:rsid w:val="00094FA3"/>
    <w:rsid w:val="00095637"/>
    <w:rsid w:val="000A1BE7"/>
    <w:rsid w:val="000A4C40"/>
    <w:rsid w:val="000A6899"/>
    <w:rsid w:val="000A7439"/>
    <w:rsid w:val="000B036D"/>
    <w:rsid w:val="000B1D19"/>
    <w:rsid w:val="000B46F6"/>
    <w:rsid w:val="000B5C31"/>
    <w:rsid w:val="000B7F73"/>
    <w:rsid w:val="000C579C"/>
    <w:rsid w:val="000D0543"/>
    <w:rsid w:val="000D08E1"/>
    <w:rsid w:val="000D0C46"/>
    <w:rsid w:val="000D21A8"/>
    <w:rsid w:val="000D5BCF"/>
    <w:rsid w:val="000E23B6"/>
    <w:rsid w:val="000E761D"/>
    <w:rsid w:val="000F013A"/>
    <w:rsid w:val="000F315A"/>
    <w:rsid w:val="000F5132"/>
    <w:rsid w:val="000F595E"/>
    <w:rsid w:val="000F69A4"/>
    <w:rsid w:val="000F7E70"/>
    <w:rsid w:val="001003BC"/>
    <w:rsid w:val="0010066F"/>
    <w:rsid w:val="001018B0"/>
    <w:rsid w:val="0010688C"/>
    <w:rsid w:val="00113F3F"/>
    <w:rsid w:val="001162A3"/>
    <w:rsid w:val="0012508E"/>
    <w:rsid w:val="00132831"/>
    <w:rsid w:val="00133F08"/>
    <w:rsid w:val="001350FB"/>
    <w:rsid w:val="001403C2"/>
    <w:rsid w:val="001449C9"/>
    <w:rsid w:val="001460E1"/>
    <w:rsid w:val="0014767A"/>
    <w:rsid w:val="00150876"/>
    <w:rsid w:val="001512A5"/>
    <w:rsid w:val="00157C80"/>
    <w:rsid w:val="0016154E"/>
    <w:rsid w:val="00164407"/>
    <w:rsid w:val="00164F47"/>
    <w:rsid w:val="001727C1"/>
    <w:rsid w:val="00173F75"/>
    <w:rsid w:val="0017646A"/>
    <w:rsid w:val="001852D9"/>
    <w:rsid w:val="00191948"/>
    <w:rsid w:val="00192AA7"/>
    <w:rsid w:val="00194191"/>
    <w:rsid w:val="0019447A"/>
    <w:rsid w:val="00194800"/>
    <w:rsid w:val="00195649"/>
    <w:rsid w:val="001A08B0"/>
    <w:rsid w:val="001A1815"/>
    <w:rsid w:val="001A67D1"/>
    <w:rsid w:val="001B187A"/>
    <w:rsid w:val="001B4BF5"/>
    <w:rsid w:val="001B4F35"/>
    <w:rsid w:val="001B798E"/>
    <w:rsid w:val="001B7E46"/>
    <w:rsid w:val="001C0F0F"/>
    <w:rsid w:val="001C2229"/>
    <w:rsid w:val="001D143B"/>
    <w:rsid w:val="001D45F5"/>
    <w:rsid w:val="001D4D56"/>
    <w:rsid w:val="001D6453"/>
    <w:rsid w:val="001D7C7D"/>
    <w:rsid w:val="001E09E7"/>
    <w:rsid w:val="001E2A7D"/>
    <w:rsid w:val="001E4540"/>
    <w:rsid w:val="001E6336"/>
    <w:rsid w:val="00207EF6"/>
    <w:rsid w:val="00211398"/>
    <w:rsid w:val="002119C2"/>
    <w:rsid w:val="00213E49"/>
    <w:rsid w:val="002152A2"/>
    <w:rsid w:val="002201E7"/>
    <w:rsid w:val="00222D2F"/>
    <w:rsid w:val="0022343B"/>
    <w:rsid w:val="0022364D"/>
    <w:rsid w:val="002264BF"/>
    <w:rsid w:val="00227FA6"/>
    <w:rsid w:val="00230DC1"/>
    <w:rsid w:val="0023308F"/>
    <w:rsid w:val="00233A88"/>
    <w:rsid w:val="00237381"/>
    <w:rsid w:val="0024300A"/>
    <w:rsid w:val="00253246"/>
    <w:rsid w:val="0025400A"/>
    <w:rsid w:val="002579EE"/>
    <w:rsid w:val="002609E5"/>
    <w:rsid w:val="00262B44"/>
    <w:rsid w:val="00263801"/>
    <w:rsid w:val="002649C2"/>
    <w:rsid w:val="00266205"/>
    <w:rsid w:val="002767A4"/>
    <w:rsid w:val="002817D5"/>
    <w:rsid w:val="00281FB3"/>
    <w:rsid w:val="00284160"/>
    <w:rsid w:val="002862F4"/>
    <w:rsid w:val="0028681E"/>
    <w:rsid w:val="00292038"/>
    <w:rsid w:val="002A02E5"/>
    <w:rsid w:val="002A2F09"/>
    <w:rsid w:val="002A59F7"/>
    <w:rsid w:val="002B2383"/>
    <w:rsid w:val="002B3D61"/>
    <w:rsid w:val="002C4A3F"/>
    <w:rsid w:val="002C6F68"/>
    <w:rsid w:val="002D2884"/>
    <w:rsid w:val="002D4F8F"/>
    <w:rsid w:val="002E28B8"/>
    <w:rsid w:val="002E3BC3"/>
    <w:rsid w:val="002E5F91"/>
    <w:rsid w:val="002F65A0"/>
    <w:rsid w:val="002F7F47"/>
    <w:rsid w:val="003006B3"/>
    <w:rsid w:val="003041D0"/>
    <w:rsid w:val="00310F91"/>
    <w:rsid w:val="00317490"/>
    <w:rsid w:val="003261AD"/>
    <w:rsid w:val="00327C8D"/>
    <w:rsid w:val="00333CD6"/>
    <w:rsid w:val="00335D64"/>
    <w:rsid w:val="0034364D"/>
    <w:rsid w:val="003472C6"/>
    <w:rsid w:val="00350C81"/>
    <w:rsid w:val="00351324"/>
    <w:rsid w:val="00354676"/>
    <w:rsid w:val="00354D0A"/>
    <w:rsid w:val="00355760"/>
    <w:rsid w:val="00355DCC"/>
    <w:rsid w:val="00361768"/>
    <w:rsid w:val="0036768F"/>
    <w:rsid w:val="00367EF9"/>
    <w:rsid w:val="00370EF9"/>
    <w:rsid w:val="00372A92"/>
    <w:rsid w:val="0037385F"/>
    <w:rsid w:val="0038050B"/>
    <w:rsid w:val="003805C9"/>
    <w:rsid w:val="00390653"/>
    <w:rsid w:val="003936AC"/>
    <w:rsid w:val="00393E8D"/>
    <w:rsid w:val="003A1E6F"/>
    <w:rsid w:val="003A3E9C"/>
    <w:rsid w:val="003A44A0"/>
    <w:rsid w:val="003A5E2D"/>
    <w:rsid w:val="003B1C80"/>
    <w:rsid w:val="003B7803"/>
    <w:rsid w:val="003C1B87"/>
    <w:rsid w:val="003C341F"/>
    <w:rsid w:val="003C39D4"/>
    <w:rsid w:val="003C6352"/>
    <w:rsid w:val="003C6DFA"/>
    <w:rsid w:val="003D4315"/>
    <w:rsid w:val="003E0555"/>
    <w:rsid w:val="003E2A7A"/>
    <w:rsid w:val="003E3DDF"/>
    <w:rsid w:val="003E3F7E"/>
    <w:rsid w:val="003E74BC"/>
    <w:rsid w:val="003F4ACC"/>
    <w:rsid w:val="00405647"/>
    <w:rsid w:val="004073C4"/>
    <w:rsid w:val="00407B13"/>
    <w:rsid w:val="00414797"/>
    <w:rsid w:val="004223D7"/>
    <w:rsid w:val="004234FA"/>
    <w:rsid w:val="00431BB6"/>
    <w:rsid w:val="004326F7"/>
    <w:rsid w:val="00434BB6"/>
    <w:rsid w:val="00437834"/>
    <w:rsid w:val="00440E88"/>
    <w:rsid w:val="00443387"/>
    <w:rsid w:val="00451A85"/>
    <w:rsid w:val="00454AA4"/>
    <w:rsid w:val="00463159"/>
    <w:rsid w:val="00465885"/>
    <w:rsid w:val="00466E32"/>
    <w:rsid w:val="00467A47"/>
    <w:rsid w:val="00473F9B"/>
    <w:rsid w:val="0048726D"/>
    <w:rsid w:val="00491629"/>
    <w:rsid w:val="00491B79"/>
    <w:rsid w:val="004938F7"/>
    <w:rsid w:val="00495CD7"/>
    <w:rsid w:val="004961CD"/>
    <w:rsid w:val="004A14BD"/>
    <w:rsid w:val="004A2672"/>
    <w:rsid w:val="004A3362"/>
    <w:rsid w:val="004A4D91"/>
    <w:rsid w:val="004A5029"/>
    <w:rsid w:val="004A76CF"/>
    <w:rsid w:val="004B31C0"/>
    <w:rsid w:val="004B3BEC"/>
    <w:rsid w:val="004C0553"/>
    <w:rsid w:val="004C3ABE"/>
    <w:rsid w:val="004D11AD"/>
    <w:rsid w:val="004D28CE"/>
    <w:rsid w:val="004D3650"/>
    <w:rsid w:val="004D4694"/>
    <w:rsid w:val="004D4AEA"/>
    <w:rsid w:val="004D4DDE"/>
    <w:rsid w:val="004D6B24"/>
    <w:rsid w:val="004E489C"/>
    <w:rsid w:val="004E48CA"/>
    <w:rsid w:val="004F19FC"/>
    <w:rsid w:val="004F231E"/>
    <w:rsid w:val="004F6630"/>
    <w:rsid w:val="00503727"/>
    <w:rsid w:val="005041B4"/>
    <w:rsid w:val="00505C47"/>
    <w:rsid w:val="00505ECC"/>
    <w:rsid w:val="00512BF7"/>
    <w:rsid w:val="00514229"/>
    <w:rsid w:val="005142CD"/>
    <w:rsid w:val="00514A7A"/>
    <w:rsid w:val="00514B07"/>
    <w:rsid w:val="005200EF"/>
    <w:rsid w:val="00523386"/>
    <w:rsid w:val="005257F4"/>
    <w:rsid w:val="0052586F"/>
    <w:rsid w:val="005308AC"/>
    <w:rsid w:val="00531C92"/>
    <w:rsid w:val="00535FD4"/>
    <w:rsid w:val="00536252"/>
    <w:rsid w:val="0054280D"/>
    <w:rsid w:val="005430D4"/>
    <w:rsid w:val="00544F56"/>
    <w:rsid w:val="00545A64"/>
    <w:rsid w:val="0055213A"/>
    <w:rsid w:val="005551E0"/>
    <w:rsid w:val="00566A8A"/>
    <w:rsid w:val="0057625F"/>
    <w:rsid w:val="005778E9"/>
    <w:rsid w:val="005836D4"/>
    <w:rsid w:val="0058381B"/>
    <w:rsid w:val="00584113"/>
    <w:rsid w:val="005917EC"/>
    <w:rsid w:val="00593D1C"/>
    <w:rsid w:val="0059532D"/>
    <w:rsid w:val="00595F44"/>
    <w:rsid w:val="005A21F6"/>
    <w:rsid w:val="005A5794"/>
    <w:rsid w:val="005A7791"/>
    <w:rsid w:val="005A7910"/>
    <w:rsid w:val="005B0E9C"/>
    <w:rsid w:val="005B13EE"/>
    <w:rsid w:val="005B1C23"/>
    <w:rsid w:val="005B5EAD"/>
    <w:rsid w:val="005B71F4"/>
    <w:rsid w:val="005B7FC4"/>
    <w:rsid w:val="005D10AB"/>
    <w:rsid w:val="005D19AD"/>
    <w:rsid w:val="005E02A7"/>
    <w:rsid w:val="005E362B"/>
    <w:rsid w:val="005F686D"/>
    <w:rsid w:val="00606A13"/>
    <w:rsid w:val="00606C3D"/>
    <w:rsid w:val="00612EEF"/>
    <w:rsid w:val="006205AF"/>
    <w:rsid w:val="00620B0C"/>
    <w:rsid w:val="006248A5"/>
    <w:rsid w:val="0062713A"/>
    <w:rsid w:val="00641824"/>
    <w:rsid w:val="00642DAA"/>
    <w:rsid w:val="00646374"/>
    <w:rsid w:val="00650275"/>
    <w:rsid w:val="0065137B"/>
    <w:rsid w:val="00657746"/>
    <w:rsid w:val="00666D9E"/>
    <w:rsid w:val="006671A9"/>
    <w:rsid w:val="00667D22"/>
    <w:rsid w:val="00672EBE"/>
    <w:rsid w:val="00673337"/>
    <w:rsid w:val="00674233"/>
    <w:rsid w:val="00675592"/>
    <w:rsid w:val="00687ACD"/>
    <w:rsid w:val="006906A3"/>
    <w:rsid w:val="006946F9"/>
    <w:rsid w:val="00694ABA"/>
    <w:rsid w:val="00696442"/>
    <w:rsid w:val="006964C6"/>
    <w:rsid w:val="006A1710"/>
    <w:rsid w:val="006A7C1B"/>
    <w:rsid w:val="006B1183"/>
    <w:rsid w:val="006B77F1"/>
    <w:rsid w:val="006C6D94"/>
    <w:rsid w:val="006C7219"/>
    <w:rsid w:val="006D3708"/>
    <w:rsid w:val="006D47D1"/>
    <w:rsid w:val="006D6DDA"/>
    <w:rsid w:val="006E1170"/>
    <w:rsid w:val="006E156E"/>
    <w:rsid w:val="006E2B68"/>
    <w:rsid w:val="006F04AC"/>
    <w:rsid w:val="006F09A7"/>
    <w:rsid w:val="006F185F"/>
    <w:rsid w:val="006F1E3C"/>
    <w:rsid w:val="006F4F29"/>
    <w:rsid w:val="00703CEB"/>
    <w:rsid w:val="00704732"/>
    <w:rsid w:val="007113B1"/>
    <w:rsid w:val="00712F51"/>
    <w:rsid w:val="00715413"/>
    <w:rsid w:val="00717EFD"/>
    <w:rsid w:val="007270F4"/>
    <w:rsid w:val="0074752D"/>
    <w:rsid w:val="0075125C"/>
    <w:rsid w:val="00752CBA"/>
    <w:rsid w:val="00754113"/>
    <w:rsid w:val="00754DBD"/>
    <w:rsid w:val="007551D8"/>
    <w:rsid w:val="007645ED"/>
    <w:rsid w:val="0076572E"/>
    <w:rsid w:val="00767CBA"/>
    <w:rsid w:val="00770367"/>
    <w:rsid w:val="00780319"/>
    <w:rsid w:val="00781C73"/>
    <w:rsid w:val="0078291E"/>
    <w:rsid w:val="00784294"/>
    <w:rsid w:val="00784C56"/>
    <w:rsid w:val="0079463E"/>
    <w:rsid w:val="00795BB4"/>
    <w:rsid w:val="0079687A"/>
    <w:rsid w:val="00797D65"/>
    <w:rsid w:val="007A0F40"/>
    <w:rsid w:val="007A4A23"/>
    <w:rsid w:val="007B03A4"/>
    <w:rsid w:val="007C36B5"/>
    <w:rsid w:val="007C49D1"/>
    <w:rsid w:val="007C502D"/>
    <w:rsid w:val="007C62D8"/>
    <w:rsid w:val="007C65E0"/>
    <w:rsid w:val="007E039C"/>
    <w:rsid w:val="007E315A"/>
    <w:rsid w:val="007F6026"/>
    <w:rsid w:val="007F656B"/>
    <w:rsid w:val="007F7B95"/>
    <w:rsid w:val="00807460"/>
    <w:rsid w:val="008100A6"/>
    <w:rsid w:val="008163AC"/>
    <w:rsid w:val="00816B4C"/>
    <w:rsid w:val="00822C03"/>
    <w:rsid w:val="00826459"/>
    <w:rsid w:val="00831AA2"/>
    <w:rsid w:val="00850866"/>
    <w:rsid w:val="008576CD"/>
    <w:rsid w:val="008579AB"/>
    <w:rsid w:val="00860941"/>
    <w:rsid w:val="0086273F"/>
    <w:rsid w:val="008655D3"/>
    <w:rsid w:val="0087266C"/>
    <w:rsid w:val="00876471"/>
    <w:rsid w:val="0087751D"/>
    <w:rsid w:val="00877C85"/>
    <w:rsid w:val="0088164D"/>
    <w:rsid w:val="00885045"/>
    <w:rsid w:val="00887FE3"/>
    <w:rsid w:val="0089240E"/>
    <w:rsid w:val="00895F4A"/>
    <w:rsid w:val="00897AB3"/>
    <w:rsid w:val="008A1111"/>
    <w:rsid w:val="008A291B"/>
    <w:rsid w:val="008A5198"/>
    <w:rsid w:val="008B2E9D"/>
    <w:rsid w:val="008B3F0E"/>
    <w:rsid w:val="008B4BDA"/>
    <w:rsid w:val="008B4E5B"/>
    <w:rsid w:val="008B5EC4"/>
    <w:rsid w:val="008B7A73"/>
    <w:rsid w:val="008C7DB9"/>
    <w:rsid w:val="008D065C"/>
    <w:rsid w:val="008D136A"/>
    <w:rsid w:val="008D7902"/>
    <w:rsid w:val="008E75E1"/>
    <w:rsid w:val="00901E52"/>
    <w:rsid w:val="009031E4"/>
    <w:rsid w:val="00911599"/>
    <w:rsid w:val="00911E27"/>
    <w:rsid w:val="00911EF6"/>
    <w:rsid w:val="00915A75"/>
    <w:rsid w:val="00917A00"/>
    <w:rsid w:val="00917E87"/>
    <w:rsid w:val="00926E66"/>
    <w:rsid w:val="009326F1"/>
    <w:rsid w:val="00933129"/>
    <w:rsid w:val="009404D0"/>
    <w:rsid w:val="00947EDF"/>
    <w:rsid w:val="00955DB4"/>
    <w:rsid w:val="00962C64"/>
    <w:rsid w:val="00970864"/>
    <w:rsid w:val="00971C83"/>
    <w:rsid w:val="00974624"/>
    <w:rsid w:val="00977B5A"/>
    <w:rsid w:val="00981667"/>
    <w:rsid w:val="00981E41"/>
    <w:rsid w:val="009846ED"/>
    <w:rsid w:val="00987C22"/>
    <w:rsid w:val="00994207"/>
    <w:rsid w:val="00995F95"/>
    <w:rsid w:val="009A0019"/>
    <w:rsid w:val="009A1A66"/>
    <w:rsid w:val="009B4D35"/>
    <w:rsid w:val="009B5054"/>
    <w:rsid w:val="009B66ED"/>
    <w:rsid w:val="009C28A7"/>
    <w:rsid w:val="009C2C61"/>
    <w:rsid w:val="009C5037"/>
    <w:rsid w:val="009C6338"/>
    <w:rsid w:val="009D6992"/>
    <w:rsid w:val="009D7E10"/>
    <w:rsid w:val="009E0847"/>
    <w:rsid w:val="009E7E60"/>
    <w:rsid w:val="009F2F33"/>
    <w:rsid w:val="009F5CA7"/>
    <w:rsid w:val="009F5E2F"/>
    <w:rsid w:val="00A05A86"/>
    <w:rsid w:val="00A05B20"/>
    <w:rsid w:val="00A05DAD"/>
    <w:rsid w:val="00A07DDA"/>
    <w:rsid w:val="00A16C77"/>
    <w:rsid w:val="00A16F56"/>
    <w:rsid w:val="00A24033"/>
    <w:rsid w:val="00A25273"/>
    <w:rsid w:val="00A25496"/>
    <w:rsid w:val="00A2756A"/>
    <w:rsid w:val="00A30137"/>
    <w:rsid w:val="00A36817"/>
    <w:rsid w:val="00A40976"/>
    <w:rsid w:val="00A40F98"/>
    <w:rsid w:val="00A42AEA"/>
    <w:rsid w:val="00A43AA7"/>
    <w:rsid w:val="00A445B9"/>
    <w:rsid w:val="00A45258"/>
    <w:rsid w:val="00A47CBB"/>
    <w:rsid w:val="00A54CF4"/>
    <w:rsid w:val="00A54F53"/>
    <w:rsid w:val="00A5537A"/>
    <w:rsid w:val="00A628D5"/>
    <w:rsid w:val="00A63EDC"/>
    <w:rsid w:val="00A7361B"/>
    <w:rsid w:val="00A76DB6"/>
    <w:rsid w:val="00A77273"/>
    <w:rsid w:val="00A813B6"/>
    <w:rsid w:val="00A82736"/>
    <w:rsid w:val="00A82979"/>
    <w:rsid w:val="00A82F90"/>
    <w:rsid w:val="00A84F50"/>
    <w:rsid w:val="00A86544"/>
    <w:rsid w:val="00A87786"/>
    <w:rsid w:val="00AA12FA"/>
    <w:rsid w:val="00AA1371"/>
    <w:rsid w:val="00AA5505"/>
    <w:rsid w:val="00AA5985"/>
    <w:rsid w:val="00AA5A55"/>
    <w:rsid w:val="00AB08FC"/>
    <w:rsid w:val="00AB5893"/>
    <w:rsid w:val="00AB676E"/>
    <w:rsid w:val="00AC2BB9"/>
    <w:rsid w:val="00AC3009"/>
    <w:rsid w:val="00AC31D3"/>
    <w:rsid w:val="00AC77BA"/>
    <w:rsid w:val="00AD46F6"/>
    <w:rsid w:val="00AD5EFF"/>
    <w:rsid w:val="00AE2523"/>
    <w:rsid w:val="00AE3370"/>
    <w:rsid w:val="00AE4434"/>
    <w:rsid w:val="00AE4E0D"/>
    <w:rsid w:val="00AF1E02"/>
    <w:rsid w:val="00AF3695"/>
    <w:rsid w:val="00AF43E2"/>
    <w:rsid w:val="00AF457A"/>
    <w:rsid w:val="00AF51AB"/>
    <w:rsid w:val="00AF6CCA"/>
    <w:rsid w:val="00B0095F"/>
    <w:rsid w:val="00B029B6"/>
    <w:rsid w:val="00B04854"/>
    <w:rsid w:val="00B06BDD"/>
    <w:rsid w:val="00B07A6C"/>
    <w:rsid w:val="00B125A8"/>
    <w:rsid w:val="00B12B1D"/>
    <w:rsid w:val="00B130F6"/>
    <w:rsid w:val="00B2183A"/>
    <w:rsid w:val="00B21A61"/>
    <w:rsid w:val="00B241DA"/>
    <w:rsid w:val="00B25262"/>
    <w:rsid w:val="00B267B0"/>
    <w:rsid w:val="00B30986"/>
    <w:rsid w:val="00B3658C"/>
    <w:rsid w:val="00B45652"/>
    <w:rsid w:val="00B50D01"/>
    <w:rsid w:val="00B53054"/>
    <w:rsid w:val="00B63B8A"/>
    <w:rsid w:val="00B67EAB"/>
    <w:rsid w:val="00B712F3"/>
    <w:rsid w:val="00B758A5"/>
    <w:rsid w:val="00B82DF3"/>
    <w:rsid w:val="00B85CE4"/>
    <w:rsid w:val="00B867ED"/>
    <w:rsid w:val="00B96406"/>
    <w:rsid w:val="00BA0F5B"/>
    <w:rsid w:val="00BA2D7C"/>
    <w:rsid w:val="00BA4103"/>
    <w:rsid w:val="00BA50EA"/>
    <w:rsid w:val="00BA7414"/>
    <w:rsid w:val="00BB0937"/>
    <w:rsid w:val="00BB0999"/>
    <w:rsid w:val="00BB0B51"/>
    <w:rsid w:val="00BB0FC2"/>
    <w:rsid w:val="00BB4131"/>
    <w:rsid w:val="00BB6E48"/>
    <w:rsid w:val="00BC4065"/>
    <w:rsid w:val="00BC6AE9"/>
    <w:rsid w:val="00BD07E7"/>
    <w:rsid w:val="00BD0E45"/>
    <w:rsid w:val="00BD6F0B"/>
    <w:rsid w:val="00BE2B89"/>
    <w:rsid w:val="00BE2F16"/>
    <w:rsid w:val="00BE43F5"/>
    <w:rsid w:val="00BE6FAD"/>
    <w:rsid w:val="00BF051C"/>
    <w:rsid w:val="00BF26B8"/>
    <w:rsid w:val="00C0452F"/>
    <w:rsid w:val="00C074FA"/>
    <w:rsid w:val="00C07964"/>
    <w:rsid w:val="00C20453"/>
    <w:rsid w:val="00C2799A"/>
    <w:rsid w:val="00C306F7"/>
    <w:rsid w:val="00C36539"/>
    <w:rsid w:val="00C42B65"/>
    <w:rsid w:val="00C51A3C"/>
    <w:rsid w:val="00C51B29"/>
    <w:rsid w:val="00C526FF"/>
    <w:rsid w:val="00C546F6"/>
    <w:rsid w:val="00C55F88"/>
    <w:rsid w:val="00C60023"/>
    <w:rsid w:val="00C67939"/>
    <w:rsid w:val="00C81172"/>
    <w:rsid w:val="00C8354E"/>
    <w:rsid w:val="00C86523"/>
    <w:rsid w:val="00C905F1"/>
    <w:rsid w:val="00C91DB9"/>
    <w:rsid w:val="00C96864"/>
    <w:rsid w:val="00CB6545"/>
    <w:rsid w:val="00CB7C72"/>
    <w:rsid w:val="00CC2755"/>
    <w:rsid w:val="00CC7B53"/>
    <w:rsid w:val="00CD6AC2"/>
    <w:rsid w:val="00CD737D"/>
    <w:rsid w:val="00CE1148"/>
    <w:rsid w:val="00CE382E"/>
    <w:rsid w:val="00CE4137"/>
    <w:rsid w:val="00CF476A"/>
    <w:rsid w:val="00D04C96"/>
    <w:rsid w:val="00D0632C"/>
    <w:rsid w:val="00D112F1"/>
    <w:rsid w:val="00D14885"/>
    <w:rsid w:val="00D16176"/>
    <w:rsid w:val="00D174EB"/>
    <w:rsid w:val="00D17580"/>
    <w:rsid w:val="00D3290C"/>
    <w:rsid w:val="00D4014A"/>
    <w:rsid w:val="00D4456A"/>
    <w:rsid w:val="00D44B15"/>
    <w:rsid w:val="00D4567F"/>
    <w:rsid w:val="00D5239B"/>
    <w:rsid w:val="00D526F6"/>
    <w:rsid w:val="00D60201"/>
    <w:rsid w:val="00D63039"/>
    <w:rsid w:val="00D65E11"/>
    <w:rsid w:val="00D665DE"/>
    <w:rsid w:val="00D70475"/>
    <w:rsid w:val="00D75560"/>
    <w:rsid w:val="00D759B4"/>
    <w:rsid w:val="00D76B47"/>
    <w:rsid w:val="00D8534B"/>
    <w:rsid w:val="00D85B39"/>
    <w:rsid w:val="00D86045"/>
    <w:rsid w:val="00D91F29"/>
    <w:rsid w:val="00D92AAE"/>
    <w:rsid w:val="00D93FE8"/>
    <w:rsid w:val="00D94FD5"/>
    <w:rsid w:val="00D9577C"/>
    <w:rsid w:val="00DA3A28"/>
    <w:rsid w:val="00DB2E6D"/>
    <w:rsid w:val="00DB48D2"/>
    <w:rsid w:val="00DB77A0"/>
    <w:rsid w:val="00DC45A3"/>
    <w:rsid w:val="00DD0CA4"/>
    <w:rsid w:val="00DD3E1C"/>
    <w:rsid w:val="00DD464F"/>
    <w:rsid w:val="00DD7795"/>
    <w:rsid w:val="00DD7F16"/>
    <w:rsid w:val="00DE495B"/>
    <w:rsid w:val="00DF051A"/>
    <w:rsid w:val="00DF2EAB"/>
    <w:rsid w:val="00DF762D"/>
    <w:rsid w:val="00E03838"/>
    <w:rsid w:val="00E04C49"/>
    <w:rsid w:val="00E061C8"/>
    <w:rsid w:val="00E07B93"/>
    <w:rsid w:val="00E07C8C"/>
    <w:rsid w:val="00E1168E"/>
    <w:rsid w:val="00E17232"/>
    <w:rsid w:val="00E200BD"/>
    <w:rsid w:val="00E30116"/>
    <w:rsid w:val="00E3163C"/>
    <w:rsid w:val="00E35231"/>
    <w:rsid w:val="00E37EC5"/>
    <w:rsid w:val="00E4269E"/>
    <w:rsid w:val="00E4594D"/>
    <w:rsid w:val="00E4625A"/>
    <w:rsid w:val="00E4729C"/>
    <w:rsid w:val="00E50312"/>
    <w:rsid w:val="00E521EC"/>
    <w:rsid w:val="00E62CDE"/>
    <w:rsid w:val="00E63DF9"/>
    <w:rsid w:val="00E67759"/>
    <w:rsid w:val="00E75490"/>
    <w:rsid w:val="00E825C6"/>
    <w:rsid w:val="00EA444F"/>
    <w:rsid w:val="00EB4B9B"/>
    <w:rsid w:val="00EC3ECF"/>
    <w:rsid w:val="00EC478A"/>
    <w:rsid w:val="00EC4F48"/>
    <w:rsid w:val="00EC55AC"/>
    <w:rsid w:val="00EC64DD"/>
    <w:rsid w:val="00ED23F7"/>
    <w:rsid w:val="00ED2AFB"/>
    <w:rsid w:val="00EE325F"/>
    <w:rsid w:val="00EE4D62"/>
    <w:rsid w:val="00EF0E37"/>
    <w:rsid w:val="00EF4259"/>
    <w:rsid w:val="00EF592A"/>
    <w:rsid w:val="00EF6822"/>
    <w:rsid w:val="00F01237"/>
    <w:rsid w:val="00F0164D"/>
    <w:rsid w:val="00F025DE"/>
    <w:rsid w:val="00F03599"/>
    <w:rsid w:val="00F03C66"/>
    <w:rsid w:val="00F04F5B"/>
    <w:rsid w:val="00F05731"/>
    <w:rsid w:val="00F1093F"/>
    <w:rsid w:val="00F15075"/>
    <w:rsid w:val="00F32622"/>
    <w:rsid w:val="00F3473D"/>
    <w:rsid w:val="00F3542E"/>
    <w:rsid w:val="00F379DF"/>
    <w:rsid w:val="00F456B4"/>
    <w:rsid w:val="00F5028B"/>
    <w:rsid w:val="00F52DB4"/>
    <w:rsid w:val="00F6275E"/>
    <w:rsid w:val="00F63AA1"/>
    <w:rsid w:val="00F65ABC"/>
    <w:rsid w:val="00F758A0"/>
    <w:rsid w:val="00F75C5A"/>
    <w:rsid w:val="00F77EED"/>
    <w:rsid w:val="00F8270B"/>
    <w:rsid w:val="00F833CC"/>
    <w:rsid w:val="00F852C2"/>
    <w:rsid w:val="00F85AF1"/>
    <w:rsid w:val="00F87807"/>
    <w:rsid w:val="00F90496"/>
    <w:rsid w:val="00F96434"/>
    <w:rsid w:val="00F96FB1"/>
    <w:rsid w:val="00FA27C4"/>
    <w:rsid w:val="00FA28B0"/>
    <w:rsid w:val="00FA46A8"/>
    <w:rsid w:val="00FA5B30"/>
    <w:rsid w:val="00FB157F"/>
    <w:rsid w:val="00FB3CCB"/>
    <w:rsid w:val="00FB641F"/>
    <w:rsid w:val="00FC0283"/>
    <w:rsid w:val="00FC3D4A"/>
    <w:rsid w:val="00FD05D6"/>
    <w:rsid w:val="00FD17B0"/>
    <w:rsid w:val="00FE2021"/>
    <w:rsid w:val="00FE24B3"/>
    <w:rsid w:val="00FE4CEF"/>
    <w:rsid w:val="00FE4F38"/>
    <w:rsid w:val="00FF43CB"/>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paragraph" w:styleId="Heading1">
    <w:name w:val="heading 1"/>
    <w:basedOn w:val="Normal"/>
    <w:next w:val="Normal"/>
    <w:link w:val="Heading1Char"/>
    <w:qFormat/>
    <w:rsid w:val="004D4A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 w:type="paragraph" w:customStyle="1" w:styleId="ListParagraph1">
    <w:name w:val="List Paragraph1"/>
    <w:basedOn w:val="Normal"/>
    <w:rsid w:val="004D4AEA"/>
    <w:pPr>
      <w:ind w:left="720"/>
      <w:contextualSpacing/>
    </w:pPr>
    <w:rPr>
      <w:lang w:val="en-GB" w:eastAsia="en-GB"/>
    </w:rPr>
  </w:style>
  <w:style w:type="character" w:customStyle="1" w:styleId="Heading1Char">
    <w:name w:val="Heading 1 Char"/>
    <w:basedOn w:val="DefaultParagraphFont"/>
    <w:link w:val="Heading1"/>
    <w:rsid w:val="004D4AE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paragraph" w:styleId="Heading1">
    <w:name w:val="heading 1"/>
    <w:basedOn w:val="Normal"/>
    <w:next w:val="Normal"/>
    <w:link w:val="Heading1Char"/>
    <w:qFormat/>
    <w:rsid w:val="004D4A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 w:type="paragraph" w:customStyle="1" w:styleId="ListParagraph1">
    <w:name w:val="List Paragraph1"/>
    <w:basedOn w:val="Normal"/>
    <w:rsid w:val="004D4AEA"/>
    <w:pPr>
      <w:ind w:left="720"/>
      <w:contextualSpacing/>
    </w:pPr>
    <w:rPr>
      <w:lang w:val="en-GB" w:eastAsia="en-GB"/>
    </w:rPr>
  </w:style>
  <w:style w:type="character" w:customStyle="1" w:styleId="Heading1Char">
    <w:name w:val="Heading 1 Char"/>
    <w:basedOn w:val="DefaultParagraphFont"/>
    <w:link w:val="Heading1"/>
    <w:rsid w:val="004D4AE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5346">
      <w:bodyDiv w:val="1"/>
      <w:marLeft w:val="0"/>
      <w:marRight w:val="0"/>
      <w:marTop w:val="0"/>
      <w:marBottom w:val="0"/>
      <w:divBdr>
        <w:top w:val="none" w:sz="0" w:space="0" w:color="auto"/>
        <w:left w:val="none" w:sz="0" w:space="0" w:color="auto"/>
        <w:bottom w:val="none" w:sz="0" w:space="0" w:color="auto"/>
        <w:right w:val="none" w:sz="0" w:space="0" w:color="auto"/>
      </w:divBdr>
      <w:divsChild>
        <w:div w:id="1802993300">
          <w:marLeft w:val="0"/>
          <w:marRight w:val="0"/>
          <w:marTop w:val="188"/>
          <w:marBottom w:val="188"/>
          <w:divBdr>
            <w:top w:val="none" w:sz="0" w:space="0" w:color="auto"/>
            <w:left w:val="none" w:sz="0" w:space="0" w:color="auto"/>
            <w:bottom w:val="none" w:sz="0" w:space="0" w:color="auto"/>
            <w:right w:val="none" w:sz="0" w:space="0" w:color="auto"/>
          </w:divBdr>
          <w:divsChild>
            <w:div w:id="847671730">
              <w:marLeft w:val="0"/>
              <w:marRight w:val="0"/>
              <w:marTop w:val="0"/>
              <w:marBottom w:val="63"/>
              <w:divBdr>
                <w:top w:val="none" w:sz="0" w:space="0" w:color="auto"/>
                <w:left w:val="none" w:sz="0" w:space="0" w:color="auto"/>
                <w:bottom w:val="none" w:sz="0" w:space="0" w:color="auto"/>
                <w:right w:val="none" w:sz="0" w:space="0" w:color="auto"/>
              </w:divBdr>
              <w:divsChild>
                <w:div w:id="20379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8008">
      <w:bodyDiv w:val="1"/>
      <w:marLeft w:val="0"/>
      <w:marRight w:val="0"/>
      <w:marTop w:val="0"/>
      <w:marBottom w:val="0"/>
      <w:divBdr>
        <w:top w:val="none" w:sz="0" w:space="0" w:color="auto"/>
        <w:left w:val="none" w:sz="0" w:space="0" w:color="auto"/>
        <w:bottom w:val="none" w:sz="0" w:space="0" w:color="auto"/>
        <w:right w:val="none" w:sz="0" w:space="0" w:color="auto"/>
      </w:divBdr>
      <w:divsChild>
        <w:div w:id="592515217">
          <w:marLeft w:val="0"/>
          <w:marRight w:val="0"/>
          <w:marTop w:val="0"/>
          <w:marBottom w:val="0"/>
          <w:divBdr>
            <w:top w:val="none" w:sz="0" w:space="0" w:color="auto"/>
            <w:left w:val="none" w:sz="0" w:space="0" w:color="auto"/>
            <w:bottom w:val="none" w:sz="0" w:space="0" w:color="auto"/>
            <w:right w:val="none" w:sz="0" w:space="0" w:color="auto"/>
          </w:divBdr>
          <w:divsChild>
            <w:div w:id="896862029">
              <w:marLeft w:val="0"/>
              <w:marRight w:val="0"/>
              <w:marTop w:val="0"/>
              <w:marBottom w:val="0"/>
              <w:divBdr>
                <w:top w:val="none" w:sz="0" w:space="0" w:color="auto"/>
                <w:left w:val="none" w:sz="0" w:space="0" w:color="auto"/>
                <w:bottom w:val="none" w:sz="0" w:space="0" w:color="auto"/>
                <w:right w:val="none" w:sz="0" w:space="0" w:color="auto"/>
              </w:divBdr>
              <w:divsChild>
                <w:div w:id="235093391">
                  <w:marLeft w:val="0"/>
                  <w:marRight w:val="0"/>
                  <w:marTop w:val="0"/>
                  <w:marBottom w:val="0"/>
                  <w:divBdr>
                    <w:top w:val="none" w:sz="0" w:space="0" w:color="auto"/>
                    <w:left w:val="none" w:sz="0" w:space="0" w:color="auto"/>
                    <w:bottom w:val="none" w:sz="0" w:space="0" w:color="auto"/>
                    <w:right w:val="none" w:sz="0" w:space="0" w:color="auto"/>
                  </w:divBdr>
                  <w:divsChild>
                    <w:div w:id="1556432141">
                      <w:marLeft w:val="0"/>
                      <w:marRight w:val="0"/>
                      <w:marTop w:val="0"/>
                      <w:marBottom w:val="0"/>
                      <w:divBdr>
                        <w:top w:val="none" w:sz="0" w:space="0" w:color="auto"/>
                        <w:left w:val="none" w:sz="0" w:space="0" w:color="auto"/>
                        <w:bottom w:val="none" w:sz="0" w:space="0" w:color="auto"/>
                        <w:right w:val="none" w:sz="0" w:space="0" w:color="auto"/>
                      </w:divBdr>
                      <w:divsChild>
                        <w:div w:id="900823484">
                          <w:marLeft w:val="0"/>
                          <w:marRight w:val="0"/>
                          <w:marTop w:val="0"/>
                          <w:marBottom w:val="0"/>
                          <w:divBdr>
                            <w:top w:val="none" w:sz="0" w:space="0" w:color="auto"/>
                            <w:left w:val="none" w:sz="0" w:space="0" w:color="auto"/>
                            <w:bottom w:val="none" w:sz="0" w:space="0" w:color="auto"/>
                            <w:right w:val="none" w:sz="0" w:space="0" w:color="auto"/>
                          </w:divBdr>
                          <w:divsChild>
                            <w:div w:id="1985812019">
                              <w:marLeft w:val="0"/>
                              <w:marRight w:val="0"/>
                              <w:marTop w:val="0"/>
                              <w:marBottom w:val="0"/>
                              <w:divBdr>
                                <w:top w:val="none" w:sz="0" w:space="0" w:color="auto"/>
                                <w:left w:val="none" w:sz="0" w:space="0" w:color="auto"/>
                                <w:bottom w:val="none" w:sz="0" w:space="0" w:color="auto"/>
                                <w:right w:val="none" w:sz="0" w:space="0" w:color="auto"/>
                              </w:divBdr>
                              <w:divsChild>
                                <w:div w:id="1634409180">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sChild>
                                        <w:div w:id="136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54422">
      <w:bodyDiv w:val="1"/>
      <w:marLeft w:val="0"/>
      <w:marRight w:val="0"/>
      <w:marTop w:val="0"/>
      <w:marBottom w:val="0"/>
      <w:divBdr>
        <w:top w:val="none" w:sz="0" w:space="0" w:color="auto"/>
        <w:left w:val="none" w:sz="0" w:space="0" w:color="auto"/>
        <w:bottom w:val="none" w:sz="0" w:space="0" w:color="auto"/>
        <w:right w:val="none" w:sz="0" w:space="0" w:color="auto"/>
      </w:divBdr>
      <w:divsChild>
        <w:div w:id="499347435">
          <w:marLeft w:val="0"/>
          <w:marRight w:val="0"/>
          <w:marTop w:val="0"/>
          <w:marBottom w:val="0"/>
          <w:divBdr>
            <w:top w:val="none" w:sz="0" w:space="0" w:color="auto"/>
            <w:left w:val="none" w:sz="0" w:space="0" w:color="auto"/>
            <w:bottom w:val="none" w:sz="0" w:space="0" w:color="auto"/>
            <w:right w:val="none" w:sz="0" w:space="0" w:color="auto"/>
          </w:divBdr>
          <w:divsChild>
            <w:div w:id="1065756459">
              <w:marLeft w:val="0"/>
              <w:marRight w:val="0"/>
              <w:marTop w:val="0"/>
              <w:marBottom w:val="0"/>
              <w:divBdr>
                <w:top w:val="none" w:sz="0" w:space="0" w:color="auto"/>
                <w:left w:val="none" w:sz="0" w:space="0" w:color="auto"/>
                <w:bottom w:val="none" w:sz="0" w:space="0" w:color="auto"/>
                <w:right w:val="none" w:sz="0" w:space="0" w:color="auto"/>
              </w:divBdr>
              <w:divsChild>
                <w:div w:id="1972906235">
                  <w:marLeft w:val="0"/>
                  <w:marRight w:val="0"/>
                  <w:marTop w:val="0"/>
                  <w:marBottom w:val="0"/>
                  <w:divBdr>
                    <w:top w:val="none" w:sz="0" w:space="0" w:color="auto"/>
                    <w:left w:val="none" w:sz="0" w:space="0" w:color="auto"/>
                    <w:bottom w:val="none" w:sz="0" w:space="0" w:color="auto"/>
                    <w:right w:val="none" w:sz="0" w:space="0" w:color="auto"/>
                  </w:divBdr>
                  <w:divsChild>
                    <w:div w:id="2059890408">
                      <w:marLeft w:val="0"/>
                      <w:marRight w:val="0"/>
                      <w:marTop w:val="0"/>
                      <w:marBottom w:val="0"/>
                      <w:divBdr>
                        <w:top w:val="none" w:sz="0" w:space="0" w:color="auto"/>
                        <w:left w:val="none" w:sz="0" w:space="0" w:color="auto"/>
                        <w:bottom w:val="none" w:sz="0" w:space="0" w:color="auto"/>
                        <w:right w:val="none" w:sz="0" w:space="0" w:color="auto"/>
                      </w:divBdr>
                      <w:divsChild>
                        <w:div w:id="1165973944">
                          <w:marLeft w:val="0"/>
                          <w:marRight w:val="0"/>
                          <w:marTop w:val="0"/>
                          <w:marBottom w:val="0"/>
                          <w:divBdr>
                            <w:top w:val="none" w:sz="0" w:space="0" w:color="auto"/>
                            <w:left w:val="none" w:sz="0" w:space="0" w:color="auto"/>
                            <w:bottom w:val="none" w:sz="0" w:space="0" w:color="auto"/>
                            <w:right w:val="none" w:sz="0" w:space="0" w:color="auto"/>
                          </w:divBdr>
                          <w:divsChild>
                            <w:div w:id="685519170">
                              <w:marLeft w:val="0"/>
                              <w:marRight w:val="0"/>
                              <w:marTop w:val="0"/>
                              <w:marBottom w:val="0"/>
                              <w:divBdr>
                                <w:top w:val="none" w:sz="0" w:space="0" w:color="auto"/>
                                <w:left w:val="none" w:sz="0" w:space="0" w:color="auto"/>
                                <w:bottom w:val="none" w:sz="0" w:space="0" w:color="auto"/>
                                <w:right w:val="none" w:sz="0" w:space="0" w:color="auto"/>
                              </w:divBdr>
                              <w:divsChild>
                                <w:div w:id="1468473617">
                                  <w:marLeft w:val="0"/>
                                  <w:marRight w:val="0"/>
                                  <w:marTop w:val="0"/>
                                  <w:marBottom w:val="0"/>
                                  <w:divBdr>
                                    <w:top w:val="none" w:sz="0" w:space="0" w:color="auto"/>
                                    <w:left w:val="none" w:sz="0" w:space="0" w:color="auto"/>
                                    <w:bottom w:val="none" w:sz="0" w:space="0" w:color="auto"/>
                                    <w:right w:val="none" w:sz="0" w:space="0" w:color="auto"/>
                                  </w:divBdr>
                                  <w:divsChild>
                                    <w:div w:id="47653576">
                                      <w:marLeft w:val="0"/>
                                      <w:marRight w:val="0"/>
                                      <w:marTop w:val="0"/>
                                      <w:marBottom w:val="0"/>
                                      <w:divBdr>
                                        <w:top w:val="none" w:sz="0" w:space="0" w:color="auto"/>
                                        <w:left w:val="none" w:sz="0" w:space="0" w:color="auto"/>
                                        <w:bottom w:val="none" w:sz="0" w:space="0" w:color="auto"/>
                                        <w:right w:val="none" w:sz="0" w:space="0" w:color="auto"/>
                                      </w:divBdr>
                                      <w:divsChild>
                                        <w:div w:id="560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552839">
      <w:bodyDiv w:val="1"/>
      <w:marLeft w:val="0"/>
      <w:marRight w:val="0"/>
      <w:marTop w:val="0"/>
      <w:marBottom w:val="0"/>
      <w:divBdr>
        <w:top w:val="none" w:sz="0" w:space="0" w:color="auto"/>
        <w:left w:val="none" w:sz="0" w:space="0" w:color="auto"/>
        <w:bottom w:val="none" w:sz="0" w:space="0" w:color="auto"/>
        <w:right w:val="none" w:sz="0" w:space="0" w:color="auto"/>
      </w:divBdr>
      <w:divsChild>
        <w:div w:id="2016959970">
          <w:marLeft w:val="0"/>
          <w:marRight w:val="0"/>
          <w:marTop w:val="0"/>
          <w:marBottom w:val="0"/>
          <w:divBdr>
            <w:top w:val="none" w:sz="0" w:space="0" w:color="auto"/>
            <w:left w:val="none" w:sz="0" w:space="0" w:color="auto"/>
            <w:bottom w:val="none" w:sz="0" w:space="0" w:color="auto"/>
            <w:right w:val="none" w:sz="0" w:space="0" w:color="auto"/>
          </w:divBdr>
          <w:divsChild>
            <w:div w:id="353502301">
              <w:marLeft w:val="0"/>
              <w:marRight w:val="0"/>
              <w:marTop w:val="0"/>
              <w:marBottom w:val="0"/>
              <w:divBdr>
                <w:top w:val="none" w:sz="0" w:space="0" w:color="auto"/>
                <w:left w:val="none" w:sz="0" w:space="0" w:color="auto"/>
                <w:bottom w:val="none" w:sz="0" w:space="0" w:color="auto"/>
                <w:right w:val="none" w:sz="0" w:space="0" w:color="auto"/>
              </w:divBdr>
              <w:divsChild>
                <w:div w:id="1802110009">
                  <w:marLeft w:val="0"/>
                  <w:marRight w:val="0"/>
                  <w:marTop w:val="0"/>
                  <w:marBottom w:val="0"/>
                  <w:divBdr>
                    <w:top w:val="none" w:sz="0" w:space="0" w:color="auto"/>
                    <w:left w:val="none" w:sz="0" w:space="0" w:color="auto"/>
                    <w:bottom w:val="none" w:sz="0" w:space="0" w:color="auto"/>
                    <w:right w:val="none" w:sz="0" w:space="0" w:color="auto"/>
                  </w:divBdr>
                  <w:divsChild>
                    <w:div w:id="1142849267">
                      <w:marLeft w:val="0"/>
                      <w:marRight w:val="0"/>
                      <w:marTop w:val="0"/>
                      <w:marBottom w:val="0"/>
                      <w:divBdr>
                        <w:top w:val="none" w:sz="0" w:space="0" w:color="auto"/>
                        <w:left w:val="none" w:sz="0" w:space="0" w:color="auto"/>
                        <w:bottom w:val="none" w:sz="0" w:space="0" w:color="auto"/>
                        <w:right w:val="none" w:sz="0" w:space="0" w:color="auto"/>
                      </w:divBdr>
                      <w:divsChild>
                        <w:div w:id="1078939025">
                          <w:marLeft w:val="0"/>
                          <w:marRight w:val="0"/>
                          <w:marTop w:val="0"/>
                          <w:marBottom w:val="0"/>
                          <w:divBdr>
                            <w:top w:val="none" w:sz="0" w:space="0" w:color="auto"/>
                            <w:left w:val="none" w:sz="0" w:space="0" w:color="auto"/>
                            <w:bottom w:val="none" w:sz="0" w:space="0" w:color="auto"/>
                            <w:right w:val="none" w:sz="0" w:space="0" w:color="auto"/>
                          </w:divBdr>
                          <w:divsChild>
                            <w:div w:id="326832484">
                              <w:marLeft w:val="0"/>
                              <w:marRight w:val="0"/>
                              <w:marTop w:val="0"/>
                              <w:marBottom w:val="0"/>
                              <w:divBdr>
                                <w:top w:val="none" w:sz="0" w:space="0" w:color="auto"/>
                                <w:left w:val="none" w:sz="0" w:space="0" w:color="auto"/>
                                <w:bottom w:val="none" w:sz="0" w:space="0" w:color="auto"/>
                                <w:right w:val="none" w:sz="0" w:space="0" w:color="auto"/>
                              </w:divBdr>
                              <w:divsChild>
                                <w:div w:id="874151839">
                                  <w:marLeft w:val="0"/>
                                  <w:marRight w:val="0"/>
                                  <w:marTop w:val="0"/>
                                  <w:marBottom w:val="0"/>
                                  <w:divBdr>
                                    <w:top w:val="none" w:sz="0" w:space="0" w:color="auto"/>
                                    <w:left w:val="none" w:sz="0" w:space="0" w:color="auto"/>
                                    <w:bottom w:val="none" w:sz="0" w:space="0" w:color="auto"/>
                                    <w:right w:val="none" w:sz="0" w:space="0" w:color="auto"/>
                                  </w:divBdr>
                                  <w:divsChild>
                                    <w:div w:id="53939876">
                                      <w:marLeft w:val="0"/>
                                      <w:marRight w:val="0"/>
                                      <w:marTop w:val="0"/>
                                      <w:marBottom w:val="0"/>
                                      <w:divBdr>
                                        <w:top w:val="none" w:sz="0" w:space="0" w:color="auto"/>
                                        <w:left w:val="none" w:sz="0" w:space="0" w:color="auto"/>
                                        <w:bottom w:val="none" w:sz="0" w:space="0" w:color="auto"/>
                                        <w:right w:val="none" w:sz="0" w:space="0" w:color="auto"/>
                                      </w:divBdr>
                                      <w:divsChild>
                                        <w:div w:id="779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04786">
      <w:bodyDiv w:val="1"/>
      <w:marLeft w:val="0"/>
      <w:marRight w:val="0"/>
      <w:marTop w:val="0"/>
      <w:marBottom w:val="0"/>
      <w:divBdr>
        <w:top w:val="none" w:sz="0" w:space="0" w:color="auto"/>
        <w:left w:val="none" w:sz="0" w:space="0" w:color="auto"/>
        <w:bottom w:val="none" w:sz="0" w:space="0" w:color="auto"/>
        <w:right w:val="none" w:sz="0" w:space="0" w:color="auto"/>
      </w:divBdr>
      <w:divsChild>
        <w:div w:id="1991208689">
          <w:marLeft w:val="0"/>
          <w:marRight w:val="0"/>
          <w:marTop w:val="0"/>
          <w:marBottom w:val="0"/>
          <w:divBdr>
            <w:top w:val="none" w:sz="0" w:space="0" w:color="auto"/>
            <w:left w:val="none" w:sz="0" w:space="0" w:color="auto"/>
            <w:bottom w:val="none" w:sz="0" w:space="0" w:color="auto"/>
            <w:right w:val="none" w:sz="0" w:space="0" w:color="auto"/>
          </w:divBdr>
          <w:divsChild>
            <w:div w:id="1702169233">
              <w:marLeft w:val="0"/>
              <w:marRight w:val="0"/>
              <w:marTop w:val="0"/>
              <w:marBottom w:val="0"/>
              <w:divBdr>
                <w:top w:val="none" w:sz="0" w:space="0" w:color="auto"/>
                <w:left w:val="none" w:sz="0" w:space="0" w:color="auto"/>
                <w:bottom w:val="none" w:sz="0" w:space="0" w:color="auto"/>
                <w:right w:val="none" w:sz="0" w:space="0" w:color="auto"/>
              </w:divBdr>
              <w:divsChild>
                <w:div w:id="1577863529">
                  <w:marLeft w:val="0"/>
                  <w:marRight w:val="0"/>
                  <w:marTop w:val="0"/>
                  <w:marBottom w:val="0"/>
                  <w:divBdr>
                    <w:top w:val="none" w:sz="0" w:space="0" w:color="auto"/>
                    <w:left w:val="none" w:sz="0" w:space="0" w:color="auto"/>
                    <w:bottom w:val="none" w:sz="0" w:space="0" w:color="auto"/>
                    <w:right w:val="none" w:sz="0" w:space="0" w:color="auto"/>
                  </w:divBdr>
                  <w:divsChild>
                    <w:div w:id="1220626132">
                      <w:marLeft w:val="0"/>
                      <w:marRight w:val="0"/>
                      <w:marTop w:val="0"/>
                      <w:marBottom w:val="0"/>
                      <w:divBdr>
                        <w:top w:val="none" w:sz="0" w:space="0" w:color="auto"/>
                        <w:left w:val="none" w:sz="0" w:space="0" w:color="auto"/>
                        <w:bottom w:val="none" w:sz="0" w:space="0" w:color="auto"/>
                        <w:right w:val="none" w:sz="0" w:space="0" w:color="auto"/>
                      </w:divBdr>
                      <w:divsChild>
                        <w:div w:id="594245759">
                          <w:marLeft w:val="0"/>
                          <w:marRight w:val="0"/>
                          <w:marTop w:val="0"/>
                          <w:marBottom w:val="0"/>
                          <w:divBdr>
                            <w:top w:val="none" w:sz="0" w:space="0" w:color="auto"/>
                            <w:left w:val="none" w:sz="0" w:space="0" w:color="auto"/>
                            <w:bottom w:val="none" w:sz="0" w:space="0" w:color="auto"/>
                            <w:right w:val="none" w:sz="0" w:space="0" w:color="auto"/>
                          </w:divBdr>
                          <w:divsChild>
                            <w:div w:id="673266850">
                              <w:marLeft w:val="0"/>
                              <w:marRight w:val="0"/>
                              <w:marTop w:val="0"/>
                              <w:marBottom w:val="0"/>
                              <w:divBdr>
                                <w:top w:val="none" w:sz="0" w:space="0" w:color="auto"/>
                                <w:left w:val="none" w:sz="0" w:space="0" w:color="auto"/>
                                <w:bottom w:val="none" w:sz="0" w:space="0" w:color="auto"/>
                                <w:right w:val="none" w:sz="0" w:space="0" w:color="auto"/>
                              </w:divBdr>
                              <w:divsChild>
                                <w:div w:id="1798916099">
                                  <w:marLeft w:val="0"/>
                                  <w:marRight w:val="0"/>
                                  <w:marTop w:val="0"/>
                                  <w:marBottom w:val="0"/>
                                  <w:divBdr>
                                    <w:top w:val="none" w:sz="0" w:space="0" w:color="auto"/>
                                    <w:left w:val="none" w:sz="0" w:space="0" w:color="auto"/>
                                    <w:bottom w:val="none" w:sz="0" w:space="0" w:color="auto"/>
                                    <w:right w:val="none" w:sz="0" w:space="0" w:color="auto"/>
                                  </w:divBdr>
                                  <w:divsChild>
                                    <w:div w:id="439834376">
                                      <w:marLeft w:val="0"/>
                                      <w:marRight w:val="0"/>
                                      <w:marTop w:val="0"/>
                                      <w:marBottom w:val="0"/>
                                      <w:divBdr>
                                        <w:top w:val="single" w:sz="4" w:space="0" w:color="F5F5F5"/>
                                        <w:left w:val="single" w:sz="4" w:space="0" w:color="F5F5F5"/>
                                        <w:bottom w:val="single" w:sz="4" w:space="0" w:color="F5F5F5"/>
                                        <w:right w:val="single" w:sz="4" w:space="0" w:color="F5F5F5"/>
                                      </w:divBdr>
                                      <w:divsChild>
                                        <w:div w:id="1203588712">
                                          <w:marLeft w:val="0"/>
                                          <w:marRight w:val="0"/>
                                          <w:marTop w:val="0"/>
                                          <w:marBottom w:val="0"/>
                                          <w:divBdr>
                                            <w:top w:val="none" w:sz="0" w:space="0" w:color="auto"/>
                                            <w:left w:val="none" w:sz="0" w:space="0" w:color="auto"/>
                                            <w:bottom w:val="none" w:sz="0" w:space="0" w:color="auto"/>
                                            <w:right w:val="none" w:sz="0" w:space="0" w:color="auto"/>
                                          </w:divBdr>
                                          <w:divsChild>
                                            <w:div w:id="11558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227143">
      <w:bodyDiv w:val="1"/>
      <w:marLeft w:val="0"/>
      <w:marRight w:val="0"/>
      <w:marTop w:val="0"/>
      <w:marBottom w:val="0"/>
      <w:divBdr>
        <w:top w:val="none" w:sz="0" w:space="0" w:color="auto"/>
        <w:left w:val="none" w:sz="0" w:space="0" w:color="auto"/>
        <w:bottom w:val="none" w:sz="0" w:space="0" w:color="auto"/>
        <w:right w:val="none" w:sz="0" w:space="0" w:color="auto"/>
      </w:divBdr>
      <w:divsChild>
        <w:div w:id="1036655997">
          <w:marLeft w:val="0"/>
          <w:marRight w:val="0"/>
          <w:marTop w:val="0"/>
          <w:marBottom w:val="0"/>
          <w:divBdr>
            <w:top w:val="none" w:sz="0" w:space="0" w:color="auto"/>
            <w:left w:val="none" w:sz="0" w:space="0" w:color="auto"/>
            <w:bottom w:val="none" w:sz="0" w:space="0" w:color="auto"/>
            <w:right w:val="none" w:sz="0" w:space="0" w:color="auto"/>
          </w:divBdr>
          <w:divsChild>
            <w:div w:id="1174496758">
              <w:marLeft w:val="0"/>
              <w:marRight w:val="0"/>
              <w:marTop w:val="0"/>
              <w:marBottom w:val="0"/>
              <w:divBdr>
                <w:top w:val="none" w:sz="0" w:space="0" w:color="auto"/>
                <w:left w:val="none" w:sz="0" w:space="0" w:color="auto"/>
                <w:bottom w:val="none" w:sz="0" w:space="0" w:color="auto"/>
                <w:right w:val="none" w:sz="0" w:space="0" w:color="auto"/>
              </w:divBdr>
              <w:divsChild>
                <w:div w:id="891816092">
                  <w:marLeft w:val="0"/>
                  <w:marRight w:val="0"/>
                  <w:marTop w:val="0"/>
                  <w:marBottom w:val="0"/>
                  <w:divBdr>
                    <w:top w:val="none" w:sz="0" w:space="0" w:color="auto"/>
                    <w:left w:val="none" w:sz="0" w:space="0" w:color="auto"/>
                    <w:bottom w:val="none" w:sz="0" w:space="0" w:color="auto"/>
                    <w:right w:val="none" w:sz="0" w:space="0" w:color="auto"/>
                  </w:divBdr>
                  <w:divsChild>
                    <w:div w:id="1541432121">
                      <w:marLeft w:val="0"/>
                      <w:marRight w:val="0"/>
                      <w:marTop w:val="0"/>
                      <w:marBottom w:val="0"/>
                      <w:divBdr>
                        <w:top w:val="none" w:sz="0" w:space="0" w:color="auto"/>
                        <w:left w:val="none" w:sz="0" w:space="0" w:color="auto"/>
                        <w:bottom w:val="none" w:sz="0" w:space="0" w:color="auto"/>
                        <w:right w:val="none" w:sz="0" w:space="0" w:color="auto"/>
                      </w:divBdr>
                      <w:divsChild>
                        <w:div w:id="1627588307">
                          <w:marLeft w:val="0"/>
                          <w:marRight w:val="0"/>
                          <w:marTop w:val="0"/>
                          <w:marBottom w:val="0"/>
                          <w:divBdr>
                            <w:top w:val="none" w:sz="0" w:space="0" w:color="auto"/>
                            <w:left w:val="none" w:sz="0" w:space="0" w:color="auto"/>
                            <w:bottom w:val="none" w:sz="0" w:space="0" w:color="auto"/>
                            <w:right w:val="none" w:sz="0" w:space="0" w:color="auto"/>
                          </w:divBdr>
                          <w:divsChild>
                            <w:div w:id="1029180336">
                              <w:marLeft w:val="0"/>
                              <w:marRight w:val="0"/>
                              <w:marTop w:val="0"/>
                              <w:marBottom w:val="0"/>
                              <w:divBdr>
                                <w:top w:val="none" w:sz="0" w:space="0" w:color="auto"/>
                                <w:left w:val="none" w:sz="0" w:space="0" w:color="auto"/>
                                <w:bottom w:val="none" w:sz="0" w:space="0" w:color="auto"/>
                                <w:right w:val="none" w:sz="0" w:space="0" w:color="auto"/>
                              </w:divBdr>
                              <w:divsChild>
                                <w:div w:id="156848212">
                                  <w:marLeft w:val="0"/>
                                  <w:marRight w:val="0"/>
                                  <w:marTop w:val="0"/>
                                  <w:marBottom w:val="0"/>
                                  <w:divBdr>
                                    <w:top w:val="none" w:sz="0" w:space="0" w:color="auto"/>
                                    <w:left w:val="none" w:sz="0" w:space="0" w:color="auto"/>
                                    <w:bottom w:val="none" w:sz="0" w:space="0" w:color="auto"/>
                                    <w:right w:val="none" w:sz="0" w:space="0" w:color="auto"/>
                                  </w:divBdr>
                                  <w:divsChild>
                                    <w:div w:id="1150554524">
                                      <w:marLeft w:val="0"/>
                                      <w:marRight w:val="0"/>
                                      <w:marTop w:val="0"/>
                                      <w:marBottom w:val="0"/>
                                      <w:divBdr>
                                        <w:top w:val="single" w:sz="4" w:space="0" w:color="F5F5F5"/>
                                        <w:left w:val="single" w:sz="4" w:space="0" w:color="F5F5F5"/>
                                        <w:bottom w:val="single" w:sz="4" w:space="0" w:color="F5F5F5"/>
                                        <w:right w:val="single" w:sz="4" w:space="0" w:color="F5F5F5"/>
                                      </w:divBdr>
                                      <w:divsChild>
                                        <w:div w:id="1793328884">
                                          <w:marLeft w:val="0"/>
                                          <w:marRight w:val="0"/>
                                          <w:marTop w:val="0"/>
                                          <w:marBottom w:val="0"/>
                                          <w:divBdr>
                                            <w:top w:val="none" w:sz="0" w:space="0" w:color="auto"/>
                                            <w:left w:val="none" w:sz="0" w:space="0" w:color="auto"/>
                                            <w:bottom w:val="none" w:sz="0" w:space="0" w:color="auto"/>
                                            <w:right w:val="none" w:sz="0" w:space="0" w:color="auto"/>
                                          </w:divBdr>
                                          <w:divsChild>
                                            <w:div w:id="12930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1953">
      <w:bodyDiv w:val="1"/>
      <w:marLeft w:val="0"/>
      <w:marRight w:val="0"/>
      <w:marTop w:val="0"/>
      <w:marBottom w:val="0"/>
      <w:divBdr>
        <w:top w:val="none" w:sz="0" w:space="0" w:color="auto"/>
        <w:left w:val="none" w:sz="0" w:space="0" w:color="auto"/>
        <w:bottom w:val="none" w:sz="0" w:space="0" w:color="auto"/>
        <w:right w:val="none" w:sz="0" w:space="0" w:color="auto"/>
      </w:divBdr>
      <w:divsChild>
        <w:div w:id="515651533">
          <w:marLeft w:val="0"/>
          <w:marRight w:val="0"/>
          <w:marTop w:val="0"/>
          <w:marBottom w:val="0"/>
          <w:divBdr>
            <w:top w:val="none" w:sz="0" w:space="0" w:color="auto"/>
            <w:left w:val="none" w:sz="0" w:space="0" w:color="auto"/>
            <w:bottom w:val="none" w:sz="0" w:space="0" w:color="auto"/>
            <w:right w:val="none" w:sz="0" w:space="0" w:color="auto"/>
          </w:divBdr>
          <w:divsChild>
            <w:div w:id="64761476">
              <w:marLeft w:val="0"/>
              <w:marRight w:val="0"/>
              <w:marTop w:val="0"/>
              <w:marBottom w:val="0"/>
              <w:divBdr>
                <w:top w:val="none" w:sz="0" w:space="0" w:color="auto"/>
                <w:left w:val="none" w:sz="0" w:space="0" w:color="auto"/>
                <w:bottom w:val="none" w:sz="0" w:space="0" w:color="auto"/>
                <w:right w:val="none" w:sz="0" w:space="0" w:color="auto"/>
              </w:divBdr>
              <w:divsChild>
                <w:div w:id="1209024263">
                  <w:marLeft w:val="0"/>
                  <w:marRight w:val="0"/>
                  <w:marTop w:val="0"/>
                  <w:marBottom w:val="0"/>
                  <w:divBdr>
                    <w:top w:val="none" w:sz="0" w:space="0" w:color="auto"/>
                    <w:left w:val="none" w:sz="0" w:space="0" w:color="auto"/>
                    <w:bottom w:val="none" w:sz="0" w:space="0" w:color="auto"/>
                    <w:right w:val="none" w:sz="0" w:space="0" w:color="auto"/>
                  </w:divBdr>
                  <w:divsChild>
                    <w:div w:id="1271426147">
                      <w:marLeft w:val="0"/>
                      <w:marRight w:val="0"/>
                      <w:marTop w:val="0"/>
                      <w:marBottom w:val="0"/>
                      <w:divBdr>
                        <w:top w:val="none" w:sz="0" w:space="0" w:color="auto"/>
                        <w:left w:val="none" w:sz="0" w:space="0" w:color="auto"/>
                        <w:bottom w:val="none" w:sz="0" w:space="0" w:color="auto"/>
                        <w:right w:val="none" w:sz="0" w:space="0" w:color="auto"/>
                      </w:divBdr>
                      <w:divsChild>
                        <w:div w:id="1802377740">
                          <w:marLeft w:val="0"/>
                          <w:marRight w:val="0"/>
                          <w:marTop w:val="0"/>
                          <w:marBottom w:val="0"/>
                          <w:divBdr>
                            <w:top w:val="none" w:sz="0" w:space="0" w:color="auto"/>
                            <w:left w:val="none" w:sz="0" w:space="0" w:color="auto"/>
                            <w:bottom w:val="none" w:sz="0" w:space="0" w:color="auto"/>
                            <w:right w:val="none" w:sz="0" w:space="0" w:color="auto"/>
                          </w:divBdr>
                          <w:divsChild>
                            <w:div w:id="258410005">
                              <w:marLeft w:val="0"/>
                              <w:marRight w:val="0"/>
                              <w:marTop w:val="0"/>
                              <w:marBottom w:val="0"/>
                              <w:divBdr>
                                <w:top w:val="none" w:sz="0" w:space="0" w:color="auto"/>
                                <w:left w:val="none" w:sz="0" w:space="0" w:color="auto"/>
                                <w:bottom w:val="none" w:sz="0" w:space="0" w:color="auto"/>
                                <w:right w:val="none" w:sz="0" w:space="0" w:color="auto"/>
                              </w:divBdr>
                              <w:divsChild>
                                <w:div w:id="1391028508">
                                  <w:marLeft w:val="0"/>
                                  <w:marRight w:val="0"/>
                                  <w:marTop w:val="0"/>
                                  <w:marBottom w:val="0"/>
                                  <w:divBdr>
                                    <w:top w:val="none" w:sz="0" w:space="0" w:color="auto"/>
                                    <w:left w:val="none" w:sz="0" w:space="0" w:color="auto"/>
                                    <w:bottom w:val="none" w:sz="0" w:space="0" w:color="auto"/>
                                    <w:right w:val="none" w:sz="0" w:space="0" w:color="auto"/>
                                  </w:divBdr>
                                  <w:divsChild>
                                    <w:div w:id="798693553">
                                      <w:marLeft w:val="0"/>
                                      <w:marRight w:val="0"/>
                                      <w:marTop w:val="0"/>
                                      <w:marBottom w:val="0"/>
                                      <w:divBdr>
                                        <w:top w:val="none" w:sz="0" w:space="0" w:color="auto"/>
                                        <w:left w:val="none" w:sz="0" w:space="0" w:color="auto"/>
                                        <w:bottom w:val="none" w:sz="0" w:space="0" w:color="auto"/>
                                        <w:right w:val="none" w:sz="0" w:space="0" w:color="auto"/>
                                      </w:divBdr>
                                      <w:divsChild>
                                        <w:div w:id="115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424392">
      <w:bodyDiv w:val="1"/>
      <w:marLeft w:val="0"/>
      <w:marRight w:val="0"/>
      <w:marTop w:val="0"/>
      <w:marBottom w:val="0"/>
      <w:divBdr>
        <w:top w:val="none" w:sz="0" w:space="0" w:color="auto"/>
        <w:left w:val="none" w:sz="0" w:space="0" w:color="auto"/>
        <w:bottom w:val="none" w:sz="0" w:space="0" w:color="auto"/>
        <w:right w:val="none" w:sz="0" w:space="0" w:color="auto"/>
      </w:divBdr>
      <w:divsChild>
        <w:div w:id="515968921">
          <w:marLeft w:val="0"/>
          <w:marRight w:val="0"/>
          <w:marTop w:val="0"/>
          <w:marBottom w:val="0"/>
          <w:divBdr>
            <w:top w:val="none" w:sz="0" w:space="0" w:color="auto"/>
            <w:left w:val="none" w:sz="0" w:space="0" w:color="auto"/>
            <w:bottom w:val="none" w:sz="0" w:space="0" w:color="auto"/>
            <w:right w:val="none" w:sz="0" w:space="0" w:color="auto"/>
          </w:divBdr>
          <w:divsChild>
            <w:div w:id="2101871126">
              <w:marLeft w:val="0"/>
              <w:marRight w:val="0"/>
              <w:marTop w:val="0"/>
              <w:marBottom w:val="0"/>
              <w:divBdr>
                <w:top w:val="none" w:sz="0" w:space="0" w:color="auto"/>
                <w:left w:val="none" w:sz="0" w:space="0" w:color="auto"/>
                <w:bottom w:val="none" w:sz="0" w:space="0" w:color="auto"/>
                <w:right w:val="none" w:sz="0" w:space="0" w:color="auto"/>
              </w:divBdr>
              <w:divsChild>
                <w:div w:id="1910455894">
                  <w:marLeft w:val="0"/>
                  <w:marRight w:val="0"/>
                  <w:marTop w:val="0"/>
                  <w:marBottom w:val="0"/>
                  <w:divBdr>
                    <w:top w:val="none" w:sz="0" w:space="0" w:color="auto"/>
                    <w:left w:val="none" w:sz="0" w:space="0" w:color="auto"/>
                    <w:bottom w:val="none" w:sz="0" w:space="0" w:color="auto"/>
                    <w:right w:val="none" w:sz="0" w:space="0" w:color="auto"/>
                  </w:divBdr>
                  <w:divsChild>
                    <w:div w:id="181164428">
                      <w:marLeft w:val="0"/>
                      <w:marRight w:val="0"/>
                      <w:marTop w:val="0"/>
                      <w:marBottom w:val="0"/>
                      <w:divBdr>
                        <w:top w:val="none" w:sz="0" w:space="0" w:color="auto"/>
                        <w:left w:val="none" w:sz="0" w:space="0" w:color="auto"/>
                        <w:bottom w:val="none" w:sz="0" w:space="0" w:color="auto"/>
                        <w:right w:val="none" w:sz="0" w:space="0" w:color="auto"/>
                      </w:divBdr>
                      <w:divsChild>
                        <w:div w:id="890650498">
                          <w:marLeft w:val="0"/>
                          <w:marRight w:val="0"/>
                          <w:marTop w:val="0"/>
                          <w:marBottom w:val="0"/>
                          <w:divBdr>
                            <w:top w:val="none" w:sz="0" w:space="0" w:color="auto"/>
                            <w:left w:val="none" w:sz="0" w:space="0" w:color="auto"/>
                            <w:bottom w:val="none" w:sz="0" w:space="0" w:color="auto"/>
                            <w:right w:val="none" w:sz="0" w:space="0" w:color="auto"/>
                          </w:divBdr>
                          <w:divsChild>
                            <w:div w:id="1747681267">
                              <w:marLeft w:val="0"/>
                              <w:marRight w:val="0"/>
                              <w:marTop w:val="0"/>
                              <w:marBottom w:val="0"/>
                              <w:divBdr>
                                <w:top w:val="none" w:sz="0" w:space="0" w:color="auto"/>
                                <w:left w:val="none" w:sz="0" w:space="0" w:color="auto"/>
                                <w:bottom w:val="none" w:sz="0" w:space="0" w:color="auto"/>
                                <w:right w:val="none" w:sz="0" w:space="0" w:color="auto"/>
                              </w:divBdr>
                              <w:divsChild>
                                <w:div w:id="971982705">
                                  <w:marLeft w:val="0"/>
                                  <w:marRight w:val="0"/>
                                  <w:marTop w:val="0"/>
                                  <w:marBottom w:val="0"/>
                                  <w:divBdr>
                                    <w:top w:val="none" w:sz="0" w:space="0" w:color="auto"/>
                                    <w:left w:val="none" w:sz="0" w:space="0" w:color="auto"/>
                                    <w:bottom w:val="none" w:sz="0" w:space="0" w:color="auto"/>
                                    <w:right w:val="none" w:sz="0" w:space="0" w:color="auto"/>
                                  </w:divBdr>
                                  <w:divsChild>
                                    <w:div w:id="1966427893">
                                      <w:marLeft w:val="0"/>
                                      <w:marRight w:val="0"/>
                                      <w:marTop w:val="0"/>
                                      <w:marBottom w:val="0"/>
                                      <w:divBdr>
                                        <w:top w:val="none" w:sz="0" w:space="0" w:color="auto"/>
                                        <w:left w:val="none" w:sz="0" w:space="0" w:color="auto"/>
                                        <w:bottom w:val="none" w:sz="0" w:space="0" w:color="auto"/>
                                        <w:right w:val="none" w:sz="0" w:space="0" w:color="auto"/>
                                      </w:divBdr>
                                      <w:divsChild>
                                        <w:div w:id="615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277519">
      <w:bodyDiv w:val="1"/>
      <w:marLeft w:val="0"/>
      <w:marRight w:val="0"/>
      <w:marTop w:val="0"/>
      <w:marBottom w:val="0"/>
      <w:divBdr>
        <w:top w:val="none" w:sz="0" w:space="0" w:color="auto"/>
        <w:left w:val="none" w:sz="0" w:space="0" w:color="auto"/>
        <w:bottom w:val="none" w:sz="0" w:space="0" w:color="auto"/>
        <w:right w:val="none" w:sz="0" w:space="0" w:color="auto"/>
      </w:divBdr>
      <w:divsChild>
        <w:div w:id="675889336">
          <w:marLeft w:val="0"/>
          <w:marRight w:val="0"/>
          <w:marTop w:val="0"/>
          <w:marBottom w:val="0"/>
          <w:divBdr>
            <w:top w:val="none" w:sz="0" w:space="0" w:color="auto"/>
            <w:left w:val="none" w:sz="0" w:space="0" w:color="auto"/>
            <w:bottom w:val="none" w:sz="0" w:space="0" w:color="auto"/>
            <w:right w:val="none" w:sz="0" w:space="0" w:color="auto"/>
          </w:divBdr>
          <w:divsChild>
            <w:div w:id="1798448812">
              <w:marLeft w:val="0"/>
              <w:marRight w:val="0"/>
              <w:marTop w:val="0"/>
              <w:marBottom w:val="0"/>
              <w:divBdr>
                <w:top w:val="none" w:sz="0" w:space="0" w:color="auto"/>
                <w:left w:val="none" w:sz="0" w:space="0" w:color="auto"/>
                <w:bottom w:val="none" w:sz="0" w:space="0" w:color="auto"/>
                <w:right w:val="none" w:sz="0" w:space="0" w:color="auto"/>
              </w:divBdr>
              <w:divsChild>
                <w:div w:id="1049456387">
                  <w:marLeft w:val="0"/>
                  <w:marRight w:val="0"/>
                  <w:marTop w:val="0"/>
                  <w:marBottom w:val="0"/>
                  <w:divBdr>
                    <w:top w:val="none" w:sz="0" w:space="0" w:color="auto"/>
                    <w:left w:val="none" w:sz="0" w:space="0" w:color="auto"/>
                    <w:bottom w:val="none" w:sz="0" w:space="0" w:color="auto"/>
                    <w:right w:val="none" w:sz="0" w:space="0" w:color="auto"/>
                  </w:divBdr>
                  <w:divsChild>
                    <w:div w:id="393160838">
                      <w:marLeft w:val="0"/>
                      <w:marRight w:val="0"/>
                      <w:marTop w:val="0"/>
                      <w:marBottom w:val="0"/>
                      <w:divBdr>
                        <w:top w:val="none" w:sz="0" w:space="0" w:color="auto"/>
                        <w:left w:val="none" w:sz="0" w:space="0" w:color="auto"/>
                        <w:bottom w:val="none" w:sz="0" w:space="0" w:color="auto"/>
                        <w:right w:val="none" w:sz="0" w:space="0" w:color="auto"/>
                      </w:divBdr>
                      <w:divsChild>
                        <w:div w:id="1119297405">
                          <w:marLeft w:val="0"/>
                          <w:marRight w:val="0"/>
                          <w:marTop w:val="0"/>
                          <w:marBottom w:val="0"/>
                          <w:divBdr>
                            <w:top w:val="none" w:sz="0" w:space="0" w:color="auto"/>
                            <w:left w:val="none" w:sz="0" w:space="0" w:color="auto"/>
                            <w:bottom w:val="none" w:sz="0" w:space="0" w:color="auto"/>
                            <w:right w:val="none" w:sz="0" w:space="0" w:color="auto"/>
                          </w:divBdr>
                          <w:divsChild>
                            <w:div w:id="1434741345">
                              <w:marLeft w:val="0"/>
                              <w:marRight w:val="0"/>
                              <w:marTop w:val="0"/>
                              <w:marBottom w:val="0"/>
                              <w:divBdr>
                                <w:top w:val="none" w:sz="0" w:space="0" w:color="auto"/>
                                <w:left w:val="none" w:sz="0" w:space="0" w:color="auto"/>
                                <w:bottom w:val="none" w:sz="0" w:space="0" w:color="auto"/>
                                <w:right w:val="none" w:sz="0" w:space="0" w:color="auto"/>
                              </w:divBdr>
                              <w:divsChild>
                                <w:div w:id="312417875">
                                  <w:marLeft w:val="0"/>
                                  <w:marRight w:val="0"/>
                                  <w:marTop w:val="0"/>
                                  <w:marBottom w:val="0"/>
                                  <w:divBdr>
                                    <w:top w:val="none" w:sz="0" w:space="0" w:color="auto"/>
                                    <w:left w:val="none" w:sz="0" w:space="0" w:color="auto"/>
                                    <w:bottom w:val="none" w:sz="0" w:space="0" w:color="auto"/>
                                    <w:right w:val="none" w:sz="0" w:space="0" w:color="auto"/>
                                  </w:divBdr>
                                  <w:divsChild>
                                    <w:div w:id="335230610">
                                      <w:marLeft w:val="0"/>
                                      <w:marRight w:val="0"/>
                                      <w:marTop w:val="0"/>
                                      <w:marBottom w:val="0"/>
                                      <w:divBdr>
                                        <w:top w:val="single" w:sz="4" w:space="0" w:color="F5F5F5"/>
                                        <w:left w:val="single" w:sz="4" w:space="0" w:color="F5F5F5"/>
                                        <w:bottom w:val="single" w:sz="4" w:space="0" w:color="F5F5F5"/>
                                        <w:right w:val="single" w:sz="4" w:space="0" w:color="F5F5F5"/>
                                      </w:divBdr>
                                      <w:divsChild>
                                        <w:div w:id="1967004147">
                                          <w:marLeft w:val="0"/>
                                          <w:marRight w:val="0"/>
                                          <w:marTop w:val="0"/>
                                          <w:marBottom w:val="0"/>
                                          <w:divBdr>
                                            <w:top w:val="none" w:sz="0" w:space="0" w:color="auto"/>
                                            <w:left w:val="none" w:sz="0" w:space="0" w:color="auto"/>
                                            <w:bottom w:val="none" w:sz="0" w:space="0" w:color="auto"/>
                                            <w:right w:val="none" w:sz="0" w:space="0" w:color="auto"/>
                                          </w:divBdr>
                                          <w:divsChild>
                                            <w:div w:id="4256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569">
      <w:bodyDiv w:val="1"/>
      <w:marLeft w:val="0"/>
      <w:marRight w:val="0"/>
      <w:marTop w:val="0"/>
      <w:marBottom w:val="0"/>
      <w:divBdr>
        <w:top w:val="none" w:sz="0" w:space="0" w:color="auto"/>
        <w:left w:val="none" w:sz="0" w:space="0" w:color="auto"/>
        <w:bottom w:val="none" w:sz="0" w:space="0" w:color="auto"/>
        <w:right w:val="none" w:sz="0" w:space="0" w:color="auto"/>
      </w:divBdr>
      <w:divsChild>
        <w:div w:id="806975839">
          <w:marLeft w:val="0"/>
          <w:marRight w:val="0"/>
          <w:marTop w:val="0"/>
          <w:marBottom w:val="0"/>
          <w:divBdr>
            <w:top w:val="none" w:sz="0" w:space="0" w:color="auto"/>
            <w:left w:val="none" w:sz="0" w:space="0" w:color="auto"/>
            <w:bottom w:val="none" w:sz="0" w:space="0" w:color="auto"/>
            <w:right w:val="none" w:sz="0" w:space="0" w:color="auto"/>
          </w:divBdr>
          <w:divsChild>
            <w:div w:id="1676569205">
              <w:marLeft w:val="0"/>
              <w:marRight w:val="0"/>
              <w:marTop w:val="0"/>
              <w:marBottom w:val="0"/>
              <w:divBdr>
                <w:top w:val="none" w:sz="0" w:space="0" w:color="auto"/>
                <w:left w:val="none" w:sz="0" w:space="0" w:color="auto"/>
                <w:bottom w:val="none" w:sz="0" w:space="0" w:color="auto"/>
                <w:right w:val="none" w:sz="0" w:space="0" w:color="auto"/>
              </w:divBdr>
              <w:divsChild>
                <w:div w:id="745229413">
                  <w:marLeft w:val="0"/>
                  <w:marRight w:val="0"/>
                  <w:marTop w:val="0"/>
                  <w:marBottom w:val="0"/>
                  <w:divBdr>
                    <w:top w:val="none" w:sz="0" w:space="0" w:color="auto"/>
                    <w:left w:val="none" w:sz="0" w:space="0" w:color="auto"/>
                    <w:bottom w:val="none" w:sz="0" w:space="0" w:color="auto"/>
                    <w:right w:val="none" w:sz="0" w:space="0" w:color="auto"/>
                  </w:divBdr>
                  <w:divsChild>
                    <w:div w:id="244264931">
                      <w:marLeft w:val="0"/>
                      <w:marRight w:val="0"/>
                      <w:marTop w:val="0"/>
                      <w:marBottom w:val="0"/>
                      <w:divBdr>
                        <w:top w:val="none" w:sz="0" w:space="0" w:color="auto"/>
                        <w:left w:val="none" w:sz="0" w:space="0" w:color="auto"/>
                        <w:bottom w:val="none" w:sz="0" w:space="0" w:color="auto"/>
                        <w:right w:val="none" w:sz="0" w:space="0" w:color="auto"/>
                      </w:divBdr>
                      <w:divsChild>
                        <w:div w:id="45300527">
                          <w:marLeft w:val="0"/>
                          <w:marRight w:val="0"/>
                          <w:marTop w:val="0"/>
                          <w:marBottom w:val="0"/>
                          <w:divBdr>
                            <w:top w:val="none" w:sz="0" w:space="0" w:color="auto"/>
                            <w:left w:val="none" w:sz="0" w:space="0" w:color="auto"/>
                            <w:bottom w:val="none" w:sz="0" w:space="0" w:color="auto"/>
                            <w:right w:val="none" w:sz="0" w:space="0" w:color="auto"/>
                          </w:divBdr>
                          <w:divsChild>
                            <w:div w:id="961424731">
                              <w:marLeft w:val="0"/>
                              <w:marRight w:val="0"/>
                              <w:marTop w:val="0"/>
                              <w:marBottom w:val="0"/>
                              <w:divBdr>
                                <w:top w:val="none" w:sz="0" w:space="0" w:color="auto"/>
                                <w:left w:val="none" w:sz="0" w:space="0" w:color="auto"/>
                                <w:bottom w:val="none" w:sz="0" w:space="0" w:color="auto"/>
                                <w:right w:val="none" w:sz="0" w:space="0" w:color="auto"/>
                              </w:divBdr>
                              <w:divsChild>
                                <w:div w:id="1327512311">
                                  <w:marLeft w:val="0"/>
                                  <w:marRight w:val="0"/>
                                  <w:marTop w:val="0"/>
                                  <w:marBottom w:val="0"/>
                                  <w:divBdr>
                                    <w:top w:val="none" w:sz="0" w:space="0" w:color="auto"/>
                                    <w:left w:val="none" w:sz="0" w:space="0" w:color="auto"/>
                                    <w:bottom w:val="none" w:sz="0" w:space="0" w:color="auto"/>
                                    <w:right w:val="none" w:sz="0" w:space="0" w:color="auto"/>
                                  </w:divBdr>
                                  <w:divsChild>
                                    <w:div w:id="1561940239">
                                      <w:marLeft w:val="0"/>
                                      <w:marRight w:val="0"/>
                                      <w:marTop w:val="0"/>
                                      <w:marBottom w:val="0"/>
                                      <w:divBdr>
                                        <w:top w:val="none" w:sz="0" w:space="0" w:color="auto"/>
                                        <w:left w:val="none" w:sz="0" w:space="0" w:color="auto"/>
                                        <w:bottom w:val="none" w:sz="0" w:space="0" w:color="auto"/>
                                        <w:right w:val="none" w:sz="0" w:space="0" w:color="auto"/>
                                      </w:divBdr>
                                      <w:divsChild>
                                        <w:div w:id="1433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_popup&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_popup&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Snežana</Reference>
    <Case_x0020_Year xmlns="63130c8a-8d1f-4e28-8ee3-43603ca9ef3b">2009</Case_x0020_Year>
    <Case_x0020_Status xmlns="16f2acb5-7363-4076-9084-069fc3bb4325">CASE CLOSED</Case_x0020_Status>
    <Date_x0020_of_x0020_Adoption xmlns="16f2acb5-7363-4076-9084-069fc3bb4325">2013-06-05T22:00:00+00:00</Date_x0020_of_x0020_Adoption>
    <Case_x0020_Number xmlns="16f2acb5-7363-4076-9084-069fc3bb4325">169/09</Case_x0020_Number>
    <Type_x0020_of_x0020_Document xmlns="16f2acb5-7363-4076-9084-069fc3bb4325">Opinion</Type_x0020_of_x0020_Document>
    <_dlc_DocId xmlns="b9fab99d-1571-47f6-8995-3a195ef041f8">M5JDUUKXSQ5W-25-755</_dlc_DocId>
    <_dlc_DocIdUrl xmlns="b9fab99d-1571-47f6-8995-3a195ef041f8">
      <Url>http://www.unmikonline.org/hrap/Eng/_layouts/DocIdRedir.aspx?ID=M5JDUUKXSQ5W-25-755</Url>
      <Description>M5JDUUKXSQ5W-25-755</Description>
    </_dlc_DocIdUrl>
  </documentManagement>
</p:properties>
</file>

<file path=customXml/itemProps1.xml><?xml version="1.0" encoding="utf-8"?>
<ds:datastoreItem xmlns:ds="http://schemas.openxmlformats.org/officeDocument/2006/customXml" ds:itemID="{24187546-B4C5-4D32-BF7E-C5A44DB4F83F}"/>
</file>

<file path=customXml/itemProps2.xml><?xml version="1.0" encoding="utf-8"?>
<ds:datastoreItem xmlns:ds="http://schemas.openxmlformats.org/officeDocument/2006/customXml" ds:itemID="{BB022369-79FE-4C32-9A56-E7EB6EC20249}"/>
</file>

<file path=customXml/itemProps3.xml><?xml version="1.0" encoding="utf-8"?>
<ds:datastoreItem xmlns:ds="http://schemas.openxmlformats.org/officeDocument/2006/customXml" ds:itemID="{8AF720E4-5727-48F1-A760-650B2EE45467}"/>
</file>

<file path=customXml/itemProps4.xml><?xml version="1.0" encoding="utf-8"?>
<ds:datastoreItem xmlns:ds="http://schemas.openxmlformats.org/officeDocument/2006/customXml" ds:itemID="{99C7873C-C5A3-4B99-8960-FCE6BBCE367C}"/>
</file>

<file path=customXml/itemProps5.xml><?xml version="1.0" encoding="utf-8"?>
<ds:datastoreItem xmlns:ds="http://schemas.openxmlformats.org/officeDocument/2006/customXml" ds:itemID="{0C0588F8-9B8C-486E-911C-73C82ADA2C15}"/>
</file>

<file path=docProps/app.xml><?xml version="1.0" encoding="utf-8"?>
<Properties xmlns="http://schemas.openxmlformats.org/officeDocument/2006/extended-properties" xmlns:vt="http://schemas.openxmlformats.org/officeDocument/2006/docPropsVTypes">
  <Template>Normal</Template>
  <TotalTime>0</TotalTime>
  <Pages>22</Pages>
  <Words>9759</Words>
  <Characters>55632</Characters>
  <Application>Microsoft Office Word</Application>
  <DocSecurity>0</DocSecurity>
  <Lines>463</Lines>
  <Paragraphs>130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65261</CharactersWithSpaces>
  <SharedDoc>false</SharedDoc>
  <HLinks>
    <vt:vector size="42" baseType="variant">
      <vt:variant>
        <vt:i4>3014662</vt:i4>
      </vt:variant>
      <vt:variant>
        <vt:i4>180</vt:i4>
      </vt:variant>
      <vt:variant>
        <vt:i4>0</vt:i4>
      </vt:variant>
      <vt:variant>
        <vt:i4>5</vt:i4>
      </vt:variant>
      <vt:variant>
        <vt:lpwstr/>
      </vt:variant>
      <vt:variant>
        <vt:lpwstr>_CONCLUDING_COMMENTS_AND</vt:lpwstr>
      </vt:variant>
      <vt:variant>
        <vt:i4>4587620</vt:i4>
      </vt:variant>
      <vt:variant>
        <vt:i4>114</vt:i4>
      </vt:variant>
      <vt:variant>
        <vt:i4>0</vt:i4>
      </vt:variant>
      <vt:variant>
        <vt:i4>5</vt:i4>
      </vt:variant>
      <vt:variant>
        <vt:lpwstr/>
      </vt:variant>
      <vt:variant>
        <vt:lpwstr>_In_case_there</vt:lpwstr>
      </vt:variant>
      <vt:variant>
        <vt:i4>2424861</vt:i4>
      </vt:variant>
      <vt:variant>
        <vt:i4>111</vt:i4>
      </vt:variant>
      <vt:variant>
        <vt:i4>0</vt:i4>
      </vt:variant>
      <vt:variant>
        <vt:i4>5</vt:i4>
      </vt:variant>
      <vt:variant>
        <vt:lpwstr/>
      </vt:variant>
      <vt:variant>
        <vt:lpwstr>_This_is_for</vt:lpwstr>
      </vt:variant>
      <vt:variant>
        <vt:i4>3473468</vt:i4>
      </vt:variant>
      <vt:variant>
        <vt:i4>3</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2013-06-07T13:30:00Z</cp:lastPrinted>
  <dcterms:created xsi:type="dcterms:W3CDTF">2013-07-25T09:24:00Z</dcterms:created>
  <dcterms:modified xsi:type="dcterms:W3CDTF">2013-07-25T09:24:00Z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8f625ebf-b155-4f56-b2da-85192d385224</vt:lpwstr>
  </property>
</Properties>
</file>